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B060" w14:textId="77777777" w:rsidR="005C0080" w:rsidRDefault="005C0080" w:rsidP="005C0080">
      <w:pPr>
        <w:spacing w:after="0" w:line="240" w:lineRule="auto"/>
        <w:jc w:val="center"/>
        <w:rPr>
          <w:sz w:val="36"/>
          <w:szCs w:val="36"/>
        </w:rPr>
      </w:pPr>
    </w:p>
    <w:p w14:paraId="006B4273" w14:textId="77777777" w:rsidR="005C0080" w:rsidRPr="00A6530B" w:rsidRDefault="005C0080" w:rsidP="005C0080">
      <w:pPr>
        <w:jc w:val="center"/>
        <w:rPr>
          <w:rFonts w:cs="Times New Roman"/>
          <w:b/>
          <w:sz w:val="24"/>
          <w:szCs w:val="24"/>
        </w:rPr>
      </w:pPr>
      <w:r w:rsidRPr="00A6530B">
        <w:rPr>
          <w:rFonts w:cs="Times New Roman"/>
          <w:b/>
          <w:sz w:val="24"/>
          <w:szCs w:val="24"/>
        </w:rPr>
        <w:t>BEFORE THE</w:t>
      </w:r>
    </w:p>
    <w:p w14:paraId="2DE0D4A6" w14:textId="77777777" w:rsidR="005C0080" w:rsidRPr="00A6530B" w:rsidRDefault="005C0080" w:rsidP="005C0080">
      <w:pPr>
        <w:jc w:val="center"/>
        <w:rPr>
          <w:rFonts w:cs="Times New Roman"/>
          <w:b/>
          <w:sz w:val="24"/>
          <w:szCs w:val="24"/>
        </w:rPr>
      </w:pPr>
      <w:r w:rsidRPr="00A6530B">
        <w:rPr>
          <w:rFonts w:cs="Times New Roman"/>
          <w:b/>
          <w:sz w:val="24"/>
          <w:szCs w:val="24"/>
        </w:rPr>
        <w:t xml:space="preserve"> COUNCIL OF THE CITY OF NEW ORLEANS</w:t>
      </w:r>
    </w:p>
    <w:p w14:paraId="254AB7DA" w14:textId="77777777" w:rsidR="005C0080" w:rsidRPr="00A6530B" w:rsidRDefault="005C0080" w:rsidP="005C0080">
      <w:pPr>
        <w:jc w:val="center"/>
        <w:rPr>
          <w:rFonts w:cs="Times New Roman"/>
          <w:b/>
          <w:sz w:val="24"/>
          <w:szCs w:val="24"/>
        </w:rPr>
      </w:pPr>
      <w:r w:rsidRPr="00A6530B">
        <w:rPr>
          <w:rFonts w:cs="Times New Roman"/>
          <w:b/>
          <w:noProof/>
          <w:sz w:val="24"/>
          <w:szCs w:val="24"/>
        </w:rPr>
        <mc:AlternateContent>
          <mc:Choice Requires="wps">
            <w:drawing>
              <wp:anchor distT="0" distB="0" distL="114300" distR="114300" simplePos="0" relativeHeight="251675648" behindDoc="0" locked="0" layoutInCell="1" allowOverlap="1" wp14:anchorId="4F60759B" wp14:editId="428C978C">
                <wp:simplePos x="0" y="0"/>
                <wp:positionH relativeFrom="column">
                  <wp:posOffset>3086100</wp:posOffset>
                </wp:positionH>
                <wp:positionV relativeFrom="paragraph">
                  <wp:posOffset>280669</wp:posOffset>
                </wp:positionV>
                <wp:extent cx="0" cy="1114425"/>
                <wp:effectExtent l="0" t="0" r="19050" b="28575"/>
                <wp:wrapNone/>
                <wp:docPr id="24" name="Straight Connector 24"/>
                <wp:cNvGraphicFramePr/>
                <a:graphic xmlns:a="http://schemas.openxmlformats.org/drawingml/2006/main">
                  <a:graphicData uri="http://schemas.microsoft.com/office/word/2010/wordprocessingShape">
                    <wps:wsp>
                      <wps:cNvCnPr/>
                      <wps:spPr>
                        <a:xfrm flipH="1">
                          <a:off x="0" y="0"/>
                          <a:ext cx="0" cy="1114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03056" id="Straight Connector 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2.1pt" to="243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" strokecolor="black [3200]" strokeweight="1.5pt">
                <v:stroke joinstyle="miter"/>
              </v:line>
            </w:pict>
          </mc:Fallback>
        </mc:AlternateContent>
      </w:r>
    </w:p>
    <w:p w14:paraId="3E7BF97B" w14:textId="77777777" w:rsidR="005C0080" w:rsidRPr="00A6530B" w:rsidRDefault="005C0080" w:rsidP="005C0080">
      <w:pPr>
        <w:spacing w:after="0"/>
        <w:rPr>
          <w:rFonts w:cs="Times New Roman"/>
          <w:b/>
          <w:sz w:val="24"/>
          <w:szCs w:val="24"/>
        </w:rPr>
      </w:pPr>
      <w:r w:rsidRPr="00A6530B">
        <w:rPr>
          <w:rFonts w:cs="Times New Roman"/>
          <w:b/>
          <w:sz w:val="24"/>
          <w:szCs w:val="24"/>
        </w:rPr>
        <w:t xml:space="preserve">IN RE:  RESOLUTION REGARDING                                </w:t>
      </w:r>
    </w:p>
    <w:p w14:paraId="351EA642" w14:textId="77777777" w:rsidR="005C0080" w:rsidRPr="00A6530B" w:rsidRDefault="005C0080" w:rsidP="005C0080">
      <w:pPr>
        <w:spacing w:after="0"/>
        <w:rPr>
          <w:rFonts w:cs="Times New Roman"/>
          <w:b/>
          <w:sz w:val="24"/>
          <w:szCs w:val="24"/>
        </w:rPr>
      </w:pPr>
      <w:r w:rsidRPr="00A6530B">
        <w:rPr>
          <w:rFonts w:cs="Times New Roman"/>
          <w:b/>
          <w:sz w:val="24"/>
          <w:szCs w:val="24"/>
        </w:rPr>
        <w:t>PROPOSED RULEMAKING TO</w:t>
      </w:r>
    </w:p>
    <w:p w14:paraId="73DD078B" w14:textId="77777777" w:rsidR="005C0080" w:rsidRPr="00A6530B" w:rsidRDefault="005C0080" w:rsidP="005C0080">
      <w:pPr>
        <w:tabs>
          <w:tab w:val="left" w:pos="270"/>
          <w:tab w:val="left" w:pos="8190"/>
        </w:tabs>
        <w:spacing w:after="0"/>
        <w:rPr>
          <w:rFonts w:cs="Times New Roman"/>
          <w:b/>
          <w:sz w:val="24"/>
          <w:szCs w:val="24"/>
        </w:rPr>
      </w:pPr>
      <w:r w:rsidRPr="00A6530B">
        <w:rPr>
          <w:rFonts w:cs="Times New Roman"/>
          <w:b/>
          <w:sz w:val="24"/>
          <w:szCs w:val="24"/>
        </w:rPr>
        <w:t>ESTABLISH INTEGRATED RESOURCE                                       DOCKET NO. UD-08-02</w:t>
      </w:r>
    </w:p>
    <w:p w14:paraId="017749F9" w14:textId="77777777" w:rsidR="005C0080" w:rsidRPr="00A6530B" w:rsidRDefault="005C0080" w:rsidP="005C0080">
      <w:pPr>
        <w:spacing w:after="0"/>
        <w:rPr>
          <w:rFonts w:cs="Times New Roman"/>
          <w:b/>
          <w:sz w:val="24"/>
          <w:szCs w:val="24"/>
        </w:rPr>
      </w:pPr>
      <w:r w:rsidRPr="00A6530B">
        <w:rPr>
          <w:rFonts w:cs="Times New Roman"/>
          <w:b/>
          <w:sz w:val="24"/>
          <w:szCs w:val="24"/>
        </w:rPr>
        <w:t xml:space="preserve">PLANNING COMPONENTS AND </w:t>
      </w:r>
    </w:p>
    <w:p w14:paraId="585D8D47" w14:textId="77777777" w:rsidR="005C0080" w:rsidRPr="00A6530B" w:rsidRDefault="005C0080" w:rsidP="005C0080">
      <w:pPr>
        <w:spacing w:after="0"/>
        <w:rPr>
          <w:rFonts w:cs="Times New Roman"/>
          <w:b/>
          <w:sz w:val="24"/>
          <w:szCs w:val="24"/>
        </w:rPr>
      </w:pPr>
      <w:r w:rsidRPr="00A6530B">
        <w:rPr>
          <w:rFonts w:cs="Times New Roman"/>
          <w:b/>
          <w:sz w:val="24"/>
          <w:szCs w:val="24"/>
        </w:rPr>
        <w:t>REPORTING REQUIREMENTS FOR</w:t>
      </w:r>
    </w:p>
    <w:p w14:paraId="1801C300" w14:textId="77777777" w:rsidR="005C0080" w:rsidRPr="00A6530B" w:rsidRDefault="005C0080" w:rsidP="005C0080">
      <w:pPr>
        <w:spacing w:after="0"/>
        <w:rPr>
          <w:rFonts w:cs="Times New Roman"/>
          <w:b/>
          <w:sz w:val="24"/>
          <w:szCs w:val="24"/>
        </w:rPr>
      </w:pPr>
      <w:r w:rsidRPr="00A6530B">
        <w:rPr>
          <w:rFonts w:cs="Times New Roman"/>
          <w:b/>
          <w:sz w:val="24"/>
          <w:szCs w:val="24"/>
        </w:rPr>
        <w:t>ENTERGY NEW ORLEANS, INC.</w:t>
      </w:r>
    </w:p>
    <w:p w14:paraId="16A28CA7" w14:textId="77777777" w:rsidR="005C0080" w:rsidRPr="00A6530B" w:rsidRDefault="005C0080" w:rsidP="005C0080">
      <w:pPr>
        <w:tabs>
          <w:tab w:val="left" w:pos="1860"/>
        </w:tabs>
        <w:rPr>
          <w:rFonts w:cs="Times New Roman"/>
          <w:sz w:val="24"/>
          <w:szCs w:val="24"/>
        </w:rPr>
      </w:pPr>
    </w:p>
    <w:p w14:paraId="74FA983D" w14:textId="77777777" w:rsidR="005C0080" w:rsidRPr="00D44602" w:rsidRDefault="005C0080" w:rsidP="005C0080">
      <w:pPr>
        <w:spacing w:after="0" w:line="240" w:lineRule="auto"/>
        <w:jc w:val="center"/>
        <w:rPr>
          <w:sz w:val="36"/>
          <w:szCs w:val="36"/>
        </w:rPr>
      </w:pPr>
      <w:r w:rsidRPr="00D44602">
        <w:rPr>
          <w:sz w:val="36"/>
          <w:szCs w:val="36"/>
        </w:rPr>
        <w:t>Building Science Innovators</w:t>
      </w:r>
      <w:r>
        <w:rPr>
          <w:sz w:val="36"/>
          <w:szCs w:val="36"/>
        </w:rPr>
        <w:t xml:space="preserve"> </w:t>
      </w:r>
      <w:r w:rsidRPr="00D44602">
        <w:rPr>
          <w:sz w:val="36"/>
          <w:szCs w:val="36"/>
        </w:rPr>
        <w:t>Comments</w:t>
      </w:r>
      <w:r>
        <w:rPr>
          <w:sz w:val="36"/>
          <w:szCs w:val="36"/>
        </w:rPr>
        <w:t xml:space="preserve"> </w:t>
      </w:r>
      <w:r w:rsidRPr="00D44602">
        <w:rPr>
          <w:sz w:val="36"/>
          <w:szCs w:val="36"/>
        </w:rPr>
        <w:t xml:space="preserve">on </w:t>
      </w:r>
    </w:p>
    <w:p w14:paraId="4CAF577E" w14:textId="77777777" w:rsidR="005C0080" w:rsidRPr="00D44602" w:rsidRDefault="005C0080" w:rsidP="005C0080">
      <w:pPr>
        <w:spacing w:after="0" w:line="240" w:lineRule="auto"/>
        <w:jc w:val="center"/>
        <w:rPr>
          <w:sz w:val="36"/>
          <w:szCs w:val="36"/>
        </w:rPr>
      </w:pPr>
      <w:r w:rsidRPr="00D44602">
        <w:rPr>
          <w:sz w:val="36"/>
          <w:szCs w:val="36"/>
        </w:rPr>
        <w:t>Entergy New Orleans’ 2015 Draft Integrated Resource Plan</w:t>
      </w:r>
    </w:p>
    <w:p w14:paraId="7DBC5602" w14:textId="77777777" w:rsidR="005C0080" w:rsidRDefault="005C0080" w:rsidP="005C0080">
      <w:pPr>
        <w:pStyle w:val="ListParagraph"/>
        <w:spacing w:after="0"/>
        <w:ind w:left="0" w:firstLine="720"/>
        <w:rPr>
          <w:sz w:val="24"/>
          <w:szCs w:val="24"/>
        </w:rPr>
      </w:pPr>
    </w:p>
    <w:p w14:paraId="3D3C97BE" w14:textId="1CCFCA33" w:rsidR="005C0080" w:rsidRPr="005C0080" w:rsidRDefault="005C0080" w:rsidP="005C0080">
      <w:pPr>
        <w:pStyle w:val="ListParagraph"/>
        <w:spacing w:after="0"/>
        <w:ind w:left="0" w:firstLine="720"/>
        <w:rPr>
          <w:color w:val="000000" w:themeColor="text1"/>
          <w:sz w:val="24"/>
          <w:szCs w:val="24"/>
        </w:rPr>
      </w:pPr>
      <w:r w:rsidRPr="005C0080">
        <w:rPr>
          <w:color w:val="000000" w:themeColor="text1"/>
          <w:sz w:val="24"/>
          <w:szCs w:val="24"/>
        </w:rPr>
        <w:t>Building Science Innovators [BSI]</w:t>
      </w:r>
      <w:r w:rsidRPr="005C0080">
        <w:rPr>
          <w:rStyle w:val="EndnoteReference"/>
          <w:color w:val="000000" w:themeColor="text1"/>
          <w:sz w:val="24"/>
          <w:szCs w:val="24"/>
        </w:rPr>
        <w:endnoteReference w:id="1"/>
      </w:r>
      <w:r w:rsidRPr="005C0080">
        <w:rPr>
          <w:color w:val="000000" w:themeColor="text1"/>
          <w:sz w:val="24"/>
          <w:szCs w:val="24"/>
        </w:rPr>
        <w:t xml:space="preserve"> submits these </w:t>
      </w:r>
      <w:r w:rsidR="00F71ED8">
        <w:rPr>
          <w:color w:val="000000" w:themeColor="text1"/>
          <w:sz w:val="24"/>
          <w:szCs w:val="24"/>
        </w:rPr>
        <w:t>c</w:t>
      </w:r>
      <w:r w:rsidRPr="005C0080">
        <w:rPr>
          <w:color w:val="000000" w:themeColor="text1"/>
          <w:sz w:val="24"/>
          <w:szCs w:val="24"/>
        </w:rPr>
        <w:t>omments</w:t>
      </w:r>
      <w:r w:rsidRPr="005C0080">
        <w:rPr>
          <w:rStyle w:val="EndnoteReference"/>
          <w:color w:val="000000" w:themeColor="text1"/>
          <w:sz w:val="24"/>
          <w:szCs w:val="24"/>
        </w:rPr>
        <w:endnoteReference w:id="2"/>
      </w:r>
      <w:r w:rsidRPr="005C0080">
        <w:rPr>
          <w:color w:val="000000" w:themeColor="text1"/>
          <w:sz w:val="24"/>
          <w:szCs w:val="24"/>
        </w:rPr>
        <w:t xml:space="preserve"> regarding the Entergy New Orleans’ [ENO] 2015 Draft Integrated Resource Plan [IRP].  Following the 1) </w:t>
      </w:r>
      <w:r w:rsidRPr="005C0080">
        <w:rPr>
          <w:i/>
          <w:color w:val="000000" w:themeColor="text1"/>
          <w:sz w:val="24"/>
          <w:szCs w:val="24"/>
        </w:rPr>
        <w:t>Executive Summary</w:t>
      </w:r>
      <w:r w:rsidRPr="005C0080">
        <w:rPr>
          <w:color w:val="000000" w:themeColor="text1"/>
          <w:sz w:val="24"/>
          <w:szCs w:val="24"/>
        </w:rPr>
        <w:t xml:space="preserve"> and a </w:t>
      </w:r>
      <w:r w:rsidRPr="005C0080">
        <w:rPr>
          <w:i/>
          <w:color w:val="000000" w:themeColor="text1"/>
          <w:sz w:val="24"/>
          <w:szCs w:val="24"/>
        </w:rPr>
        <w:t>Concise List of BSI’s Recommendations</w:t>
      </w:r>
      <w:r w:rsidRPr="005C0080">
        <w:rPr>
          <w:color w:val="000000" w:themeColor="text1"/>
          <w:sz w:val="24"/>
          <w:szCs w:val="24"/>
        </w:rPr>
        <w:t xml:space="preserve">, justifications are found in 2) a </w:t>
      </w:r>
      <w:r w:rsidRPr="005C0080">
        <w:rPr>
          <w:i/>
          <w:color w:val="000000" w:themeColor="text1"/>
          <w:sz w:val="24"/>
          <w:szCs w:val="24"/>
        </w:rPr>
        <w:t>Critique of the Assertions by ENO and Various Intervenors Presented during the IRP Meetings</w:t>
      </w:r>
      <w:r w:rsidRPr="005C0080">
        <w:rPr>
          <w:color w:val="000000" w:themeColor="text1"/>
          <w:sz w:val="24"/>
          <w:szCs w:val="24"/>
        </w:rPr>
        <w:t xml:space="preserve">, as well as, 3) </w:t>
      </w:r>
      <w:r w:rsidRPr="005C0080">
        <w:rPr>
          <w:i/>
          <w:color w:val="000000" w:themeColor="text1"/>
          <w:sz w:val="24"/>
          <w:szCs w:val="24"/>
        </w:rPr>
        <w:t>Elaborated Recommendations</w:t>
      </w:r>
      <w:r w:rsidRPr="005C0080">
        <w:rPr>
          <w:color w:val="000000" w:themeColor="text1"/>
          <w:sz w:val="24"/>
          <w:szCs w:val="24"/>
        </w:rPr>
        <w:t xml:space="preserve"> designed to enhance both the </w:t>
      </w:r>
      <w:r w:rsidR="00F71ED8">
        <w:rPr>
          <w:color w:val="000000" w:themeColor="text1"/>
          <w:sz w:val="24"/>
          <w:szCs w:val="24"/>
        </w:rPr>
        <w:t xml:space="preserve">IRP </w:t>
      </w:r>
      <w:r w:rsidRPr="005C0080">
        <w:rPr>
          <w:color w:val="000000" w:themeColor="text1"/>
          <w:sz w:val="24"/>
          <w:szCs w:val="24"/>
        </w:rPr>
        <w:t>result</w:t>
      </w:r>
      <w:r w:rsidR="00F71ED8">
        <w:rPr>
          <w:color w:val="000000" w:themeColor="text1"/>
          <w:sz w:val="24"/>
          <w:szCs w:val="24"/>
        </w:rPr>
        <w:t>s</w:t>
      </w:r>
      <w:r w:rsidRPr="005C0080">
        <w:rPr>
          <w:color w:val="000000" w:themeColor="text1"/>
          <w:sz w:val="24"/>
          <w:szCs w:val="24"/>
        </w:rPr>
        <w:t xml:space="preserve"> and </w:t>
      </w:r>
      <w:r w:rsidR="00F71ED8">
        <w:rPr>
          <w:color w:val="000000" w:themeColor="text1"/>
          <w:sz w:val="24"/>
          <w:szCs w:val="24"/>
        </w:rPr>
        <w:t xml:space="preserve">IRP </w:t>
      </w:r>
      <w:r w:rsidRPr="005C0080">
        <w:rPr>
          <w:color w:val="000000" w:themeColor="text1"/>
          <w:sz w:val="24"/>
          <w:szCs w:val="24"/>
        </w:rPr>
        <w:t>process</w:t>
      </w:r>
      <w:r w:rsidR="00F71ED8">
        <w:rPr>
          <w:color w:val="000000" w:themeColor="text1"/>
          <w:sz w:val="24"/>
          <w:szCs w:val="24"/>
        </w:rPr>
        <w:t>.</w:t>
      </w:r>
      <w:r w:rsidRPr="005C0080">
        <w:rPr>
          <w:color w:val="000000" w:themeColor="text1"/>
          <w:sz w:val="24"/>
          <w:szCs w:val="24"/>
        </w:rPr>
        <w:t xml:space="preserve"> </w:t>
      </w:r>
    </w:p>
    <w:p w14:paraId="5896282B" w14:textId="77777777" w:rsidR="005C0080" w:rsidRPr="005C0080" w:rsidRDefault="005C0080" w:rsidP="005C0080">
      <w:pPr>
        <w:pStyle w:val="ListParagraph"/>
        <w:spacing w:after="0"/>
        <w:ind w:left="0"/>
        <w:rPr>
          <w:color w:val="000000" w:themeColor="text1"/>
          <w:sz w:val="24"/>
          <w:szCs w:val="24"/>
        </w:rPr>
      </w:pPr>
    </w:p>
    <w:p w14:paraId="138FD2CA" w14:textId="7C843CDD" w:rsidR="005C0080" w:rsidRPr="00632A00" w:rsidRDefault="00E702A6" w:rsidP="005C0080">
      <w:pPr>
        <w:pStyle w:val="TOCHeading"/>
        <w:spacing w:before="0" w:after="120"/>
        <w:outlineLvl w:val="0"/>
        <w:rPr>
          <w:rFonts w:asciiTheme="minorHAnsi" w:hAnsiTheme="minorHAnsi"/>
          <w:color w:val="000000" w:themeColor="text1"/>
          <w:sz w:val="36"/>
          <w:szCs w:val="36"/>
        </w:rPr>
      </w:pPr>
      <w:bookmarkStart w:id="0" w:name="_Toc428849529"/>
      <w:r>
        <w:rPr>
          <w:rFonts w:asciiTheme="minorHAnsi" w:hAnsiTheme="minorHAnsi"/>
          <w:color w:val="000000" w:themeColor="text1"/>
          <w:sz w:val="36"/>
          <w:szCs w:val="36"/>
        </w:rPr>
        <w:t xml:space="preserve">1    </w:t>
      </w:r>
      <w:r w:rsidR="005C0080" w:rsidRPr="00632A00">
        <w:rPr>
          <w:rFonts w:asciiTheme="minorHAnsi" w:hAnsiTheme="minorHAnsi"/>
          <w:color w:val="000000" w:themeColor="text1"/>
          <w:sz w:val="36"/>
          <w:szCs w:val="36"/>
        </w:rPr>
        <w:t>Executive Summary</w:t>
      </w:r>
      <w:bookmarkEnd w:id="0"/>
    </w:p>
    <w:p w14:paraId="0F9648B5" w14:textId="1D31CEA7" w:rsidR="005C0080" w:rsidRDefault="005C0080" w:rsidP="005C0080">
      <w:pPr>
        <w:pStyle w:val="ListParagraph"/>
        <w:spacing w:after="0"/>
        <w:ind w:left="0"/>
        <w:rPr>
          <w:color w:val="000000" w:themeColor="text1"/>
          <w:sz w:val="24"/>
          <w:szCs w:val="24"/>
        </w:rPr>
      </w:pPr>
      <w:r w:rsidRPr="005C0080">
        <w:rPr>
          <w:color w:val="000000" w:themeColor="text1"/>
          <w:sz w:val="24"/>
          <w:szCs w:val="24"/>
        </w:rPr>
        <w:t xml:space="preserve">BSI is especially interested and applauds the actions of the New Orleans City Council [Council] to direct ENO to regularly engage in a quality IRP process.  This is because of  i) BSI participation and leadership within the New Orleans Energy Policy Task Force which recommended this </w:t>
      </w:r>
      <w:r w:rsidRPr="005C0080">
        <w:rPr>
          <w:i/>
          <w:color w:val="000000" w:themeColor="text1"/>
          <w:sz w:val="24"/>
          <w:szCs w:val="24"/>
        </w:rPr>
        <w:t>NOVEL</w:t>
      </w:r>
      <w:r w:rsidRPr="005C0080">
        <w:rPr>
          <w:color w:val="000000" w:themeColor="text1"/>
          <w:sz w:val="24"/>
          <w:szCs w:val="24"/>
        </w:rPr>
        <w:t xml:space="preserve"> course of action in 2007, and ii) BSI’s “Inverted Demand Compliant Construction — a Key to a </w:t>
      </w:r>
      <w:r w:rsidR="006B16E3">
        <w:rPr>
          <w:color w:val="000000" w:themeColor="text1"/>
          <w:sz w:val="24"/>
          <w:szCs w:val="24"/>
        </w:rPr>
        <w:t>Renewable</w:t>
      </w:r>
      <w:r w:rsidRPr="005C0080">
        <w:rPr>
          <w:color w:val="000000" w:themeColor="text1"/>
          <w:sz w:val="24"/>
          <w:szCs w:val="24"/>
        </w:rPr>
        <w:t xml:space="preserve"> Energy Future” [IDCC]</w:t>
      </w:r>
      <w:r w:rsidRPr="005C0080">
        <w:rPr>
          <w:rStyle w:val="EndnoteReference"/>
          <w:color w:val="000000" w:themeColor="text1"/>
          <w:sz w:val="24"/>
          <w:szCs w:val="24"/>
        </w:rPr>
        <w:endnoteReference w:id="3"/>
      </w:r>
      <w:r w:rsidRPr="005C0080">
        <w:rPr>
          <w:color w:val="000000" w:themeColor="text1"/>
          <w:sz w:val="24"/>
          <w:szCs w:val="24"/>
        </w:rPr>
        <w:t xml:space="preserve"> 2014 original research and leadership at the nexus between building science and utility policy design which established consumer-installed battery systems as cost-effective and suggested that universal adoption may</w:t>
      </w:r>
      <w:r w:rsidR="00FC7548">
        <w:rPr>
          <w:color w:val="000000" w:themeColor="text1"/>
          <w:sz w:val="24"/>
          <w:szCs w:val="24"/>
        </w:rPr>
        <w:t xml:space="preserve"> </w:t>
      </w:r>
      <w:r w:rsidRPr="005C0080">
        <w:rPr>
          <w:color w:val="000000" w:themeColor="text1"/>
          <w:sz w:val="24"/>
          <w:szCs w:val="24"/>
        </w:rPr>
        <w:t xml:space="preserve">be a necessary step for a sustainable planet. </w:t>
      </w:r>
    </w:p>
    <w:p w14:paraId="1FEE3E87" w14:textId="4B55ACE6" w:rsidR="002B286D" w:rsidRDefault="00E702A6" w:rsidP="005C0080">
      <w:pPr>
        <w:pStyle w:val="ListParagraph"/>
        <w:spacing w:after="0"/>
        <w:ind w:left="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80768" behindDoc="0" locked="0" layoutInCell="1" allowOverlap="1" wp14:anchorId="00B5F8EF" wp14:editId="136265B3">
                <wp:simplePos x="0" y="0"/>
                <wp:positionH relativeFrom="column">
                  <wp:posOffset>3788230</wp:posOffset>
                </wp:positionH>
                <wp:positionV relativeFrom="paragraph">
                  <wp:posOffset>171687</wp:posOffset>
                </wp:positionV>
                <wp:extent cx="1606790" cy="1163955"/>
                <wp:effectExtent l="0" t="0" r="12700" b="17145"/>
                <wp:wrapNone/>
                <wp:docPr id="25" name="Rectangle 25"/>
                <wp:cNvGraphicFramePr/>
                <a:graphic xmlns:a="http://schemas.openxmlformats.org/drawingml/2006/main">
                  <a:graphicData uri="http://schemas.microsoft.com/office/word/2010/wordprocessingShape">
                    <wps:wsp>
                      <wps:cNvSpPr/>
                      <wps:spPr>
                        <a:xfrm>
                          <a:off x="0" y="0"/>
                          <a:ext cx="1606790" cy="11639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A60FA6" w14:textId="4B1C6DAC" w:rsidR="00E702A6" w:rsidRDefault="00E702A6" w:rsidP="00E702A6">
                            <w:pPr>
                              <w:jc w:val="center"/>
                            </w:pPr>
                            <w:r>
                              <w:t xml:space="preserve">Received </w:t>
                            </w:r>
                          </w:p>
                          <w:p w14:paraId="1F41A26F" w14:textId="40E447D6" w:rsidR="00E702A6" w:rsidRDefault="00E702A6" w:rsidP="00E702A6">
                            <w:pPr>
                              <w:jc w:val="center"/>
                            </w:pPr>
                            <w:r>
                              <w:t>3:39PM   Aug 31, 2015</w:t>
                            </w:r>
                          </w:p>
                          <w:p w14:paraId="34013A97" w14:textId="1CA84AB6" w:rsidR="00E702A6" w:rsidRDefault="00E702A6" w:rsidP="00E702A6">
                            <w:pPr>
                              <w:jc w:val="center"/>
                            </w:pPr>
                            <w:r>
                              <w:t>Clerk of Council</w:t>
                            </w:r>
                          </w:p>
                          <w:p w14:paraId="07F203DB" w14:textId="6A8AAF83" w:rsidR="00E702A6" w:rsidRDefault="00E702A6" w:rsidP="00E702A6">
                            <w:pPr>
                              <w:jc w:val="center"/>
                            </w:pPr>
                            <w:r>
                              <w:t>City of New Orleans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5F8EF" id="Rectangle 25" o:spid="_x0000_s1026" style="position:absolute;left:0;text-align:left;margin-left:298.3pt;margin-top:13.5pt;width:126.5pt;height:9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" fillcolor="#5b9bd5 [3204]" strokecolor="#1f4d78 [1604]" strokeweight="1pt">
                <v:textbox>
                  <w:txbxContent>
                    <w:p w14:paraId="23A60FA6" w14:textId="4B1C6DAC" w:rsidR="00E702A6" w:rsidRDefault="00E702A6" w:rsidP="00E702A6">
                      <w:pPr>
                        <w:jc w:val="center"/>
                      </w:pPr>
                      <w:r>
                        <w:t xml:space="preserve">Received </w:t>
                      </w:r>
                    </w:p>
                    <w:p w14:paraId="1F41A26F" w14:textId="40E447D6" w:rsidR="00E702A6" w:rsidRDefault="00E702A6" w:rsidP="00E702A6">
                      <w:pPr>
                        <w:jc w:val="center"/>
                      </w:pPr>
                      <w:r>
                        <w:t>3:39PM   Aug 31, 2015</w:t>
                      </w:r>
                    </w:p>
                    <w:p w14:paraId="34013A97" w14:textId="1CA84AB6" w:rsidR="00E702A6" w:rsidRDefault="00E702A6" w:rsidP="00E702A6">
                      <w:pPr>
                        <w:jc w:val="center"/>
                      </w:pPr>
                      <w:r>
                        <w:t>Clerk of Council</w:t>
                      </w:r>
                    </w:p>
                    <w:p w14:paraId="07F203DB" w14:textId="6A8AAF83" w:rsidR="00E702A6" w:rsidRDefault="00E702A6" w:rsidP="00E702A6">
                      <w:pPr>
                        <w:jc w:val="center"/>
                      </w:pPr>
                      <w:r>
                        <w:t>City of New Orleans</w:t>
                      </w:r>
                    </w:p>
                  </w:txbxContent>
                </v:textbox>
              </v:rect>
            </w:pict>
          </mc:Fallback>
        </mc:AlternateContent>
      </w:r>
    </w:p>
    <w:p w14:paraId="11E17C3D" w14:textId="7BECED39" w:rsidR="002B286D" w:rsidRDefault="002B286D" w:rsidP="005C0080">
      <w:pPr>
        <w:pStyle w:val="ListParagraph"/>
        <w:spacing w:after="0"/>
        <w:ind w:left="0"/>
        <w:rPr>
          <w:color w:val="000000" w:themeColor="text1"/>
          <w:sz w:val="24"/>
          <w:szCs w:val="24"/>
        </w:rPr>
      </w:pPr>
    </w:p>
    <w:p w14:paraId="1267F6AC" w14:textId="77777777" w:rsidR="002B286D" w:rsidRDefault="002B286D" w:rsidP="005C0080">
      <w:pPr>
        <w:pStyle w:val="ListParagraph"/>
        <w:spacing w:after="0"/>
        <w:ind w:left="0"/>
        <w:rPr>
          <w:color w:val="000000" w:themeColor="text1"/>
          <w:sz w:val="24"/>
          <w:szCs w:val="24"/>
        </w:rPr>
      </w:pPr>
    </w:p>
    <w:p w14:paraId="396ED50A" w14:textId="77777777" w:rsidR="002B286D" w:rsidRPr="005C0080" w:rsidRDefault="002B286D" w:rsidP="005C0080">
      <w:pPr>
        <w:pStyle w:val="ListParagraph"/>
        <w:spacing w:after="0"/>
        <w:ind w:left="0"/>
        <w:rPr>
          <w:color w:val="000000" w:themeColor="text1"/>
          <w:sz w:val="24"/>
          <w:szCs w:val="24"/>
        </w:rPr>
      </w:pPr>
    </w:p>
    <w:p w14:paraId="46C4C1B1" w14:textId="77777777" w:rsidR="00E702A6" w:rsidRDefault="00E702A6" w:rsidP="001F448F">
      <w:pPr>
        <w:pStyle w:val="ListParagraph"/>
        <w:spacing w:after="180"/>
        <w:ind w:left="0"/>
        <w:contextualSpacing w:val="0"/>
        <w:jc w:val="center"/>
        <w:rPr>
          <w:b/>
          <w:color w:val="000000" w:themeColor="text1"/>
          <w:sz w:val="24"/>
          <w:szCs w:val="24"/>
        </w:rPr>
      </w:pPr>
    </w:p>
    <w:p w14:paraId="05477CA8" w14:textId="77777777" w:rsidR="00E702A6" w:rsidRDefault="00E702A6" w:rsidP="001F448F">
      <w:pPr>
        <w:pStyle w:val="ListParagraph"/>
        <w:spacing w:after="180"/>
        <w:ind w:left="0"/>
        <w:contextualSpacing w:val="0"/>
        <w:jc w:val="center"/>
        <w:rPr>
          <w:b/>
          <w:color w:val="000000" w:themeColor="text1"/>
          <w:sz w:val="24"/>
          <w:szCs w:val="24"/>
        </w:rPr>
      </w:pPr>
    </w:p>
    <w:p w14:paraId="49C3BB14" w14:textId="58597873" w:rsidR="005C0080" w:rsidRPr="005C0080" w:rsidRDefault="006B16E3" w:rsidP="001F448F">
      <w:pPr>
        <w:pStyle w:val="ListParagraph"/>
        <w:spacing w:after="180"/>
        <w:ind w:left="0"/>
        <w:contextualSpacing w:val="0"/>
        <w:jc w:val="center"/>
        <w:rPr>
          <w:b/>
          <w:color w:val="000000" w:themeColor="text1"/>
          <w:sz w:val="24"/>
          <w:szCs w:val="24"/>
        </w:rPr>
      </w:pPr>
      <w:r>
        <w:rPr>
          <w:b/>
          <w:color w:val="000000" w:themeColor="text1"/>
          <w:sz w:val="24"/>
          <w:szCs w:val="24"/>
        </w:rPr>
        <w:lastRenderedPageBreak/>
        <w:t>ENO’s Draft IRP has fatal</w:t>
      </w:r>
      <w:r w:rsidR="00CE00DF">
        <w:rPr>
          <w:b/>
          <w:color w:val="000000" w:themeColor="text1"/>
          <w:sz w:val="24"/>
          <w:szCs w:val="24"/>
        </w:rPr>
        <w:t xml:space="preserve"> flaws</w:t>
      </w:r>
      <w:r w:rsidR="005C0080" w:rsidRPr="005C0080">
        <w:rPr>
          <w:b/>
          <w:color w:val="000000" w:themeColor="text1"/>
          <w:sz w:val="24"/>
          <w:szCs w:val="24"/>
        </w:rPr>
        <w:t xml:space="preserve"> and ENO should be directe</w:t>
      </w:r>
      <w:r w:rsidR="00CE00DF">
        <w:rPr>
          <w:b/>
          <w:color w:val="000000" w:themeColor="text1"/>
          <w:sz w:val="24"/>
          <w:szCs w:val="24"/>
        </w:rPr>
        <w:t>d to revise its IRP to address them.</w:t>
      </w:r>
    </w:p>
    <w:p w14:paraId="278D36DA" w14:textId="354CECE9" w:rsidR="002B286D" w:rsidRPr="005C0080" w:rsidRDefault="005C0080" w:rsidP="001F448F">
      <w:pPr>
        <w:pStyle w:val="ListParagraph"/>
        <w:spacing w:after="180"/>
        <w:ind w:left="0"/>
        <w:contextualSpacing w:val="0"/>
        <w:rPr>
          <w:color w:val="000000" w:themeColor="text1"/>
          <w:sz w:val="24"/>
          <w:szCs w:val="24"/>
        </w:rPr>
      </w:pPr>
      <w:r w:rsidRPr="005C0080">
        <w:rPr>
          <w:color w:val="000000" w:themeColor="text1"/>
          <w:sz w:val="24"/>
          <w:szCs w:val="24"/>
        </w:rPr>
        <w:t xml:space="preserve">However, the Draft IRP produced by ENO is fatally flawed and should be rejected by the Council. The Draft IRP is rift with flawed assumptions, modeling errors, and unsubstantiated conclusions.  </w:t>
      </w:r>
      <w:r w:rsidR="002B286D">
        <w:rPr>
          <w:color w:val="000000" w:themeColor="text1"/>
          <w:sz w:val="24"/>
          <w:szCs w:val="24"/>
        </w:rPr>
        <w:t>Four of</w:t>
      </w:r>
      <w:r w:rsidRPr="005C0080">
        <w:rPr>
          <w:color w:val="000000" w:themeColor="text1"/>
          <w:sz w:val="24"/>
          <w:szCs w:val="24"/>
        </w:rPr>
        <w:t xml:space="preserve"> the most egregious errors derive from the serious deficiencies in the way ENO utilized the IRP modelling software. </w:t>
      </w:r>
      <w:r w:rsidR="006B16E3">
        <w:rPr>
          <w:color w:val="000000" w:themeColor="text1"/>
          <w:sz w:val="24"/>
          <w:szCs w:val="24"/>
        </w:rPr>
        <w:t xml:space="preserve"> </w:t>
      </w:r>
      <w:r w:rsidRPr="005C0080">
        <w:rPr>
          <w:color w:val="000000" w:themeColor="text1"/>
          <w:sz w:val="24"/>
          <w:szCs w:val="24"/>
        </w:rPr>
        <w:t xml:space="preserve">ENO’s </w:t>
      </w:r>
      <w:r w:rsidR="002B286D">
        <w:rPr>
          <w:color w:val="000000" w:themeColor="text1"/>
          <w:sz w:val="24"/>
          <w:szCs w:val="24"/>
        </w:rPr>
        <w:t>four</w:t>
      </w:r>
      <w:r w:rsidRPr="005C0080">
        <w:rPr>
          <w:color w:val="000000" w:themeColor="text1"/>
          <w:sz w:val="24"/>
          <w:szCs w:val="24"/>
        </w:rPr>
        <w:t xml:space="preserve"> most serious modelling errors </w:t>
      </w:r>
      <w:r w:rsidR="002B286D">
        <w:rPr>
          <w:color w:val="000000" w:themeColor="text1"/>
          <w:sz w:val="24"/>
          <w:szCs w:val="24"/>
        </w:rPr>
        <w:t xml:space="preserve">(among others) </w:t>
      </w:r>
      <w:r w:rsidRPr="005C0080">
        <w:rPr>
          <w:color w:val="000000" w:themeColor="text1"/>
          <w:sz w:val="24"/>
          <w:szCs w:val="24"/>
        </w:rPr>
        <w:t xml:space="preserve">were: 1) failing to include batteries in the model despite the fact that batteries were already price competitive at the beginning of the IRP process and have dramatically declined in price in the past year; 2) failing to perform an industry-standard risk analysis; 3) failing to fully take into account the impact of EPA’s Clean Power Plan, which has been in an open development process for several years </w:t>
      </w:r>
      <w:r w:rsidR="006B16E3">
        <w:rPr>
          <w:color w:val="000000" w:themeColor="text1"/>
          <w:sz w:val="24"/>
          <w:szCs w:val="24"/>
        </w:rPr>
        <w:t>although it</w:t>
      </w:r>
      <w:r w:rsidRPr="005C0080">
        <w:rPr>
          <w:color w:val="000000" w:themeColor="text1"/>
          <w:sz w:val="24"/>
          <w:szCs w:val="24"/>
        </w:rPr>
        <w:t xml:space="preserve"> was forma</w:t>
      </w:r>
      <w:r w:rsidR="002B286D">
        <w:rPr>
          <w:color w:val="000000" w:themeColor="text1"/>
          <w:sz w:val="24"/>
          <w:szCs w:val="24"/>
        </w:rPr>
        <w:t xml:space="preserve">lly mandated </w:t>
      </w:r>
      <w:r w:rsidR="006B16E3">
        <w:rPr>
          <w:color w:val="000000" w:themeColor="text1"/>
          <w:sz w:val="24"/>
          <w:szCs w:val="24"/>
        </w:rPr>
        <w:t>earlier this month</w:t>
      </w:r>
      <w:r w:rsidR="002B286D">
        <w:rPr>
          <w:color w:val="000000" w:themeColor="text1"/>
          <w:sz w:val="24"/>
          <w:szCs w:val="24"/>
        </w:rPr>
        <w:t>;</w:t>
      </w:r>
      <w:r w:rsidR="002B286D" w:rsidRPr="002B286D">
        <w:rPr>
          <w:color w:val="000000" w:themeColor="text1"/>
          <w:sz w:val="24"/>
          <w:szCs w:val="24"/>
        </w:rPr>
        <w:t xml:space="preserve"> </w:t>
      </w:r>
      <w:r w:rsidR="002B286D">
        <w:rPr>
          <w:color w:val="000000" w:themeColor="text1"/>
          <w:sz w:val="24"/>
          <w:szCs w:val="24"/>
        </w:rPr>
        <w:t>and 4) failing to consider zero-capital-cost customer-owned solar power plants.  A fifth fatal flaw is the “black bo</w:t>
      </w:r>
      <w:r w:rsidR="00FC7548">
        <w:rPr>
          <w:color w:val="000000" w:themeColor="text1"/>
          <w:sz w:val="24"/>
          <w:szCs w:val="24"/>
        </w:rPr>
        <w:t>x” data used by ENO for utility-</w:t>
      </w:r>
      <w:r w:rsidR="002B286D">
        <w:rPr>
          <w:color w:val="000000" w:themeColor="text1"/>
          <w:sz w:val="24"/>
          <w:szCs w:val="24"/>
        </w:rPr>
        <w:t xml:space="preserve">scale solar.  A sixth fatal flaw is that </w:t>
      </w:r>
      <w:r w:rsidR="002B286D" w:rsidRPr="006672C9">
        <w:rPr>
          <w:color w:val="000000" w:themeColor="text1"/>
          <w:sz w:val="24"/>
          <w:szCs w:val="24"/>
        </w:rPr>
        <w:t>ENO’s demand-side management (DSM) program success is paltry compared to what is already working at other utilities</w:t>
      </w:r>
      <w:r w:rsidR="002B286D">
        <w:rPr>
          <w:color w:val="000000" w:themeColor="text1"/>
          <w:sz w:val="24"/>
          <w:szCs w:val="24"/>
        </w:rPr>
        <w:t xml:space="preserve"> and a robust DSM program can more quickly close the gap between supply and demand than investment in a new</w:t>
      </w:r>
      <w:r w:rsidR="00FC7548">
        <w:rPr>
          <w:color w:val="000000" w:themeColor="text1"/>
          <w:sz w:val="24"/>
          <w:szCs w:val="24"/>
        </w:rPr>
        <w:t>,</w:t>
      </w:r>
      <w:r w:rsidR="002B286D">
        <w:rPr>
          <w:color w:val="000000" w:themeColor="text1"/>
          <w:sz w:val="24"/>
          <w:szCs w:val="24"/>
        </w:rPr>
        <w:t xml:space="preserve"> </w:t>
      </w:r>
      <w:r w:rsidR="00FC7548">
        <w:rPr>
          <w:color w:val="000000" w:themeColor="text1"/>
          <w:sz w:val="24"/>
          <w:szCs w:val="24"/>
        </w:rPr>
        <w:t>fossil-</w:t>
      </w:r>
      <w:r w:rsidR="002B286D">
        <w:rPr>
          <w:color w:val="000000" w:themeColor="text1"/>
          <w:sz w:val="24"/>
          <w:szCs w:val="24"/>
        </w:rPr>
        <w:t>fuel</w:t>
      </w:r>
      <w:r w:rsidR="00FC7548">
        <w:rPr>
          <w:color w:val="000000" w:themeColor="text1"/>
          <w:sz w:val="24"/>
          <w:szCs w:val="24"/>
        </w:rPr>
        <w:t>ed electricity-</w:t>
      </w:r>
      <w:r w:rsidR="002B286D">
        <w:rPr>
          <w:color w:val="000000" w:themeColor="text1"/>
          <w:sz w:val="24"/>
          <w:szCs w:val="24"/>
        </w:rPr>
        <w:t xml:space="preserve">generating plant. </w:t>
      </w:r>
    </w:p>
    <w:p w14:paraId="5473BBA6" w14:textId="632970D2" w:rsidR="005C0080" w:rsidRPr="005C0080" w:rsidRDefault="005C0080" w:rsidP="001F448F">
      <w:pPr>
        <w:pStyle w:val="ListParagraph"/>
        <w:spacing w:after="180"/>
        <w:ind w:left="0"/>
        <w:contextualSpacing w:val="0"/>
        <w:rPr>
          <w:color w:val="000000" w:themeColor="text1"/>
          <w:sz w:val="24"/>
          <w:szCs w:val="24"/>
        </w:rPr>
      </w:pPr>
      <w:r w:rsidRPr="005C0080">
        <w:rPr>
          <w:color w:val="000000" w:themeColor="text1"/>
          <w:sz w:val="24"/>
          <w:szCs w:val="24"/>
        </w:rPr>
        <w:t>With regard to the first error, installing batteries has been known to be more cost-effective than building peaking plants since before the beginning of the current IRP process.  With only a few changes in regulatory policy, consumer-installed battery installations were already cost-effective two years ago, prior to the initiation of the current IRP process.  Grid-connected battery installations have been recognized by a wide range of experts to have become cost-effective since late-2014, i.e., in the middle of the IRP planning process.</w:t>
      </w:r>
      <w:r w:rsidR="001628F0">
        <w:rPr>
          <w:color w:val="000000" w:themeColor="text1"/>
          <w:sz w:val="24"/>
          <w:szCs w:val="24"/>
        </w:rPr>
        <w:t xml:space="preserve">  </w:t>
      </w:r>
      <w:r w:rsidRPr="005C0080">
        <w:rPr>
          <w:color w:val="000000" w:themeColor="text1"/>
          <w:sz w:val="24"/>
          <w:szCs w:val="24"/>
        </w:rPr>
        <w:t>The dramatic drop in battery prices during the last year is a game-changing event which goes to the core of ENO’s assump</w:t>
      </w:r>
      <w:r w:rsidR="002B286D">
        <w:rPr>
          <w:color w:val="000000" w:themeColor="text1"/>
          <w:sz w:val="24"/>
          <w:szCs w:val="24"/>
        </w:rPr>
        <w:t xml:space="preserve">tions and resulting conclusions.  </w:t>
      </w:r>
      <w:r w:rsidR="001628F0">
        <w:rPr>
          <w:color w:val="000000" w:themeColor="text1"/>
          <w:sz w:val="24"/>
          <w:szCs w:val="24"/>
        </w:rPr>
        <w:t xml:space="preserve">Despite all of this, </w:t>
      </w:r>
      <w:r w:rsidR="002B286D">
        <w:rPr>
          <w:color w:val="000000" w:themeColor="text1"/>
          <w:sz w:val="24"/>
          <w:szCs w:val="24"/>
        </w:rPr>
        <w:t>ENO discounted battery storage early on, and</w:t>
      </w:r>
      <w:r w:rsidR="001628F0">
        <w:rPr>
          <w:color w:val="000000" w:themeColor="text1"/>
          <w:sz w:val="24"/>
          <w:szCs w:val="24"/>
        </w:rPr>
        <w:t xml:space="preserve"> this technology </w:t>
      </w:r>
      <w:r w:rsidR="002B286D">
        <w:rPr>
          <w:color w:val="000000" w:themeColor="text1"/>
          <w:sz w:val="24"/>
          <w:szCs w:val="24"/>
        </w:rPr>
        <w:t xml:space="preserve">was never reconsidered. </w:t>
      </w:r>
      <w:r w:rsidRPr="005C0080">
        <w:rPr>
          <w:color w:val="000000" w:themeColor="text1"/>
          <w:sz w:val="24"/>
          <w:szCs w:val="24"/>
        </w:rPr>
        <w:t xml:space="preserve"> </w:t>
      </w:r>
    </w:p>
    <w:p w14:paraId="560AD0AE" w14:textId="758DC1DC" w:rsidR="005C0080" w:rsidRPr="005C0080" w:rsidRDefault="005C0080" w:rsidP="001F448F">
      <w:pPr>
        <w:pStyle w:val="ListParagraph"/>
        <w:spacing w:after="180"/>
        <w:ind w:left="0"/>
        <w:contextualSpacing w:val="0"/>
        <w:rPr>
          <w:rFonts w:ascii="Calibri" w:eastAsia="Times New Roman" w:hAnsi="Calibri" w:cs="Times New Roman"/>
          <w:color w:val="000000" w:themeColor="text1"/>
          <w:sz w:val="24"/>
          <w:szCs w:val="24"/>
        </w:rPr>
      </w:pPr>
      <w:r w:rsidRPr="005C0080">
        <w:rPr>
          <w:color w:val="000000" w:themeColor="text1"/>
          <w:sz w:val="24"/>
          <w:szCs w:val="24"/>
        </w:rPr>
        <w:t>With regard to the second error, a</w:t>
      </w:r>
      <w:r w:rsidRPr="005C0080">
        <w:rPr>
          <w:rFonts w:ascii="Calibri" w:eastAsia="Times New Roman" w:hAnsi="Calibri" w:cs="Times New Roman"/>
          <w:color w:val="000000" w:themeColor="text1"/>
          <w:sz w:val="24"/>
          <w:szCs w:val="24"/>
        </w:rPr>
        <w:t>n industry</w:t>
      </w:r>
      <w:r w:rsidR="00F71ED8">
        <w:rPr>
          <w:rFonts w:ascii="Calibri" w:eastAsia="Times New Roman" w:hAnsi="Calibri" w:cs="Times New Roman"/>
          <w:color w:val="000000" w:themeColor="text1"/>
          <w:sz w:val="24"/>
          <w:szCs w:val="24"/>
        </w:rPr>
        <w:t>-</w:t>
      </w:r>
      <w:r w:rsidRPr="005C0080">
        <w:rPr>
          <w:rFonts w:ascii="Calibri" w:eastAsia="Times New Roman" w:hAnsi="Calibri" w:cs="Times New Roman"/>
          <w:color w:val="000000" w:themeColor="text1"/>
          <w:sz w:val="24"/>
          <w:szCs w:val="24"/>
        </w:rPr>
        <w:t>standard risk analysis is the result when an extended list of optional solutions and an extended list of variable assumptions and their probability distributions are considered against each other in an automated fashion against various goals including the goal to minimize costs. Without performing an industry</w:t>
      </w:r>
      <w:r w:rsidR="00F71ED8">
        <w:rPr>
          <w:rFonts w:ascii="Calibri" w:eastAsia="Times New Roman" w:hAnsi="Calibri" w:cs="Times New Roman"/>
          <w:color w:val="000000" w:themeColor="text1"/>
          <w:sz w:val="24"/>
          <w:szCs w:val="24"/>
        </w:rPr>
        <w:t>-</w:t>
      </w:r>
      <w:r w:rsidRPr="005C0080">
        <w:rPr>
          <w:rFonts w:ascii="Calibri" w:eastAsia="Times New Roman" w:hAnsi="Calibri" w:cs="Times New Roman"/>
          <w:color w:val="000000" w:themeColor="text1"/>
          <w:sz w:val="24"/>
          <w:szCs w:val="24"/>
        </w:rPr>
        <w:t xml:space="preserve">standard risk analysis, ENO concludes that, a 300 MW combustion turbine [CT] is the best choice based upon risk despite the fact that the CT option did not “win” the competition in any scenario. </w:t>
      </w:r>
      <w:r w:rsidRPr="005C0080">
        <w:rPr>
          <w:color w:val="000000" w:themeColor="text1"/>
          <w:sz w:val="24"/>
          <w:szCs w:val="24"/>
        </w:rPr>
        <w:t>In fact, nothing presented by ENO during the IRP meetings demonstrated that</w:t>
      </w:r>
      <w:r w:rsidR="00F71ED8">
        <w:rPr>
          <w:color w:val="000000" w:themeColor="text1"/>
          <w:sz w:val="24"/>
          <w:szCs w:val="24"/>
        </w:rPr>
        <w:t xml:space="preserve"> the</w:t>
      </w:r>
      <w:r w:rsidRPr="005C0080">
        <w:rPr>
          <w:color w:val="000000" w:themeColor="text1"/>
          <w:sz w:val="24"/>
          <w:szCs w:val="24"/>
        </w:rPr>
        <w:t xml:space="preserve"> “do nothing</w:t>
      </w:r>
      <w:r w:rsidR="00F71ED8">
        <w:rPr>
          <w:color w:val="000000" w:themeColor="text1"/>
          <w:sz w:val="24"/>
          <w:szCs w:val="24"/>
        </w:rPr>
        <w:t>”</w:t>
      </w:r>
      <w:r w:rsidRPr="005C0080">
        <w:rPr>
          <w:color w:val="000000" w:themeColor="text1"/>
          <w:sz w:val="24"/>
          <w:szCs w:val="24"/>
        </w:rPr>
        <w:t xml:space="preserve"> </w:t>
      </w:r>
      <w:r w:rsidR="00F71ED8">
        <w:rPr>
          <w:color w:val="000000" w:themeColor="text1"/>
          <w:sz w:val="24"/>
          <w:szCs w:val="24"/>
        </w:rPr>
        <w:t>option</w:t>
      </w:r>
      <w:r w:rsidRPr="005C0080">
        <w:rPr>
          <w:color w:val="000000" w:themeColor="text1"/>
          <w:sz w:val="24"/>
          <w:szCs w:val="24"/>
        </w:rPr>
        <w:t xml:space="preserve"> is more expensive than building a</w:t>
      </w:r>
      <w:r w:rsidR="00F71ED8">
        <w:rPr>
          <w:color w:val="000000" w:themeColor="text1"/>
          <w:sz w:val="24"/>
          <w:szCs w:val="24"/>
        </w:rPr>
        <w:t>nything, much less</w:t>
      </w:r>
      <w:r w:rsidRPr="005C0080">
        <w:rPr>
          <w:color w:val="000000" w:themeColor="text1"/>
          <w:sz w:val="24"/>
          <w:szCs w:val="24"/>
        </w:rPr>
        <w:t xml:space="preserve"> </w:t>
      </w:r>
      <w:r w:rsidR="002B286D">
        <w:rPr>
          <w:color w:val="000000" w:themeColor="text1"/>
          <w:sz w:val="24"/>
          <w:szCs w:val="24"/>
        </w:rPr>
        <w:t xml:space="preserve">a </w:t>
      </w:r>
      <w:r w:rsidRPr="005C0080">
        <w:rPr>
          <w:color w:val="000000" w:themeColor="text1"/>
          <w:sz w:val="24"/>
          <w:szCs w:val="24"/>
        </w:rPr>
        <w:t xml:space="preserve">new CT generating plant. </w:t>
      </w:r>
      <w:r w:rsidRPr="005C0080">
        <w:rPr>
          <w:rFonts w:ascii="Calibri" w:eastAsia="Times New Roman" w:hAnsi="Calibri" w:cs="Times New Roman"/>
          <w:color w:val="000000" w:themeColor="text1"/>
          <w:sz w:val="24"/>
          <w:szCs w:val="24"/>
        </w:rPr>
        <w:t>The deficienc</w:t>
      </w:r>
      <w:r w:rsidR="001707E6">
        <w:rPr>
          <w:rFonts w:ascii="Calibri" w:eastAsia="Times New Roman" w:hAnsi="Calibri" w:cs="Times New Roman"/>
          <w:color w:val="000000" w:themeColor="text1"/>
          <w:sz w:val="24"/>
          <w:szCs w:val="24"/>
        </w:rPr>
        <w:t>ies</w:t>
      </w:r>
      <w:r w:rsidRPr="005C0080">
        <w:rPr>
          <w:rFonts w:ascii="Calibri" w:eastAsia="Times New Roman" w:hAnsi="Calibri" w:cs="Times New Roman"/>
          <w:color w:val="000000" w:themeColor="text1"/>
          <w:sz w:val="24"/>
          <w:szCs w:val="24"/>
        </w:rPr>
        <w:t xml:space="preserve"> in ENO’s risk analysis </w:t>
      </w:r>
      <w:r w:rsidR="00FC7548">
        <w:rPr>
          <w:rFonts w:ascii="Calibri" w:eastAsia="Times New Roman" w:hAnsi="Calibri" w:cs="Times New Roman"/>
          <w:color w:val="000000" w:themeColor="text1"/>
          <w:sz w:val="24"/>
          <w:szCs w:val="24"/>
        </w:rPr>
        <w:t>are</w:t>
      </w:r>
      <w:r w:rsidRPr="005C0080">
        <w:rPr>
          <w:rFonts w:ascii="Calibri" w:eastAsia="Times New Roman" w:hAnsi="Calibri" w:cs="Times New Roman"/>
          <w:color w:val="000000" w:themeColor="text1"/>
          <w:sz w:val="24"/>
          <w:szCs w:val="24"/>
        </w:rPr>
        <w:t xml:space="preserve"> </w:t>
      </w:r>
      <w:r w:rsidR="00FC7548">
        <w:rPr>
          <w:rFonts w:ascii="Calibri" w:eastAsia="Times New Roman" w:hAnsi="Calibri" w:cs="Times New Roman"/>
          <w:color w:val="000000" w:themeColor="text1"/>
          <w:sz w:val="24"/>
          <w:szCs w:val="24"/>
        </w:rPr>
        <w:t>well</w:t>
      </w:r>
      <w:r w:rsidRPr="005C0080">
        <w:rPr>
          <w:rFonts w:ascii="Calibri" w:eastAsia="Times New Roman" w:hAnsi="Calibri" w:cs="Times New Roman"/>
          <w:color w:val="000000" w:themeColor="text1"/>
          <w:sz w:val="24"/>
          <w:szCs w:val="24"/>
        </w:rPr>
        <w:t xml:space="preserve"> highlighted when ENO’s IRP is compared to the robust risk analyses performed by other utilities utilizing the same</w:t>
      </w:r>
      <w:r w:rsidR="00F71ED8">
        <w:rPr>
          <w:rFonts w:ascii="Calibri" w:eastAsia="Times New Roman" w:hAnsi="Calibri" w:cs="Times New Roman"/>
          <w:color w:val="000000" w:themeColor="text1"/>
          <w:sz w:val="24"/>
          <w:szCs w:val="24"/>
        </w:rPr>
        <w:t xml:space="preserve"> or similar</w:t>
      </w:r>
      <w:r w:rsidRPr="005C0080">
        <w:rPr>
          <w:rFonts w:ascii="Calibri" w:eastAsia="Times New Roman" w:hAnsi="Calibri" w:cs="Times New Roman"/>
          <w:color w:val="000000" w:themeColor="text1"/>
          <w:sz w:val="24"/>
          <w:szCs w:val="24"/>
        </w:rPr>
        <w:t xml:space="preserve"> IRP</w:t>
      </w:r>
      <w:r w:rsidR="00F71ED8">
        <w:rPr>
          <w:rFonts w:ascii="Calibri" w:eastAsia="Times New Roman" w:hAnsi="Calibri" w:cs="Times New Roman"/>
          <w:color w:val="000000" w:themeColor="text1"/>
          <w:sz w:val="24"/>
          <w:szCs w:val="24"/>
        </w:rPr>
        <w:t xml:space="preserve">-modelling </w:t>
      </w:r>
      <w:r w:rsidRPr="005C0080">
        <w:rPr>
          <w:rFonts w:ascii="Calibri" w:eastAsia="Times New Roman" w:hAnsi="Calibri" w:cs="Times New Roman"/>
          <w:color w:val="000000" w:themeColor="text1"/>
          <w:sz w:val="24"/>
          <w:szCs w:val="24"/>
        </w:rPr>
        <w:t xml:space="preserve">software. </w:t>
      </w:r>
    </w:p>
    <w:p w14:paraId="556C711D" w14:textId="1020501F" w:rsidR="005C0080" w:rsidRPr="005C0080" w:rsidRDefault="005C0080" w:rsidP="001F448F">
      <w:pPr>
        <w:pStyle w:val="ListParagraph"/>
        <w:spacing w:after="180"/>
        <w:ind w:left="0"/>
        <w:contextualSpacing w:val="0"/>
        <w:rPr>
          <w:color w:val="000000" w:themeColor="text1"/>
          <w:sz w:val="24"/>
          <w:szCs w:val="24"/>
        </w:rPr>
      </w:pPr>
      <w:r w:rsidRPr="005C0080">
        <w:rPr>
          <w:color w:val="000000" w:themeColor="text1"/>
          <w:sz w:val="24"/>
          <w:szCs w:val="24"/>
        </w:rPr>
        <w:t>With regard to the third error, ENO’s Draft IRP, published as it was before the recent EPA Clean Power Plan announcement, could only conjecture that the Generation Shift option was a viable scenario. However, following the Clean Power Plan announcement</w:t>
      </w:r>
      <w:r w:rsidR="00F71ED8">
        <w:rPr>
          <w:color w:val="000000" w:themeColor="text1"/>
          <w:sz w:val="24"/>
          <w:szCs w:val="24"/>
        </w:rPr>
        <w:t>,</w:t>
      </w:r>
      <w:r w:rsidRPr="005C0080">
        <w:rPr>
          <w:color w:val="000000" w:themeColor="text1"/>
          <w:sz w:val="24"/>
          <w:szCs w:val="24"/>
        </w:rPr>
        <w:t xml:space="preserve"> economic biases against CO</w:t>
      </w:r>
      <w:r w:rsidRPr="005C0080">
        <w:rPr>
          <w:color w:val="000000" w:themeColor="text1"/>
          <w:sz w:val="24"/>
          <w:szCs w:val="24"/>
          <w:vertAlign w:val="subscript"/>
        </w:rPr>
        <w:t>2</w:t>
      </w:r>
      <w:r w:rsidRPr="005C0080">
        <w:rPr>
          <w:color w:val="000000" w:themeColor="text1"/>
          <w:sz w:val="24"/>
          <w:szCs w:val="24"/>
        </w:rPr>
        <w:t xml:space="preserve"> </w:t>
      </w:r>
      <w:r w:rsidRPr="005C0080">
        <w:rPr>
          <w:color w:val="000000" w:themeColor="text1"/>
          <w:sz w:val="24"/>
          <w:szCs w:val="24"/>
        </w:rPr>
        <w:lastRenderedPageBreak/>
        <w:t>production are much more likely</w:t>
      </w:r>
      <w:r w:rsidR="00F71ED8">
        <w:rPr>
          <w:color w:val="000000" w:themeColor="text1"/>
          <w:sz w:val="24"/>
          <w:szCs w:val="24"/>
        </w:rPr>
        <w:t xml:space="preserve"> and substantial,</w:t>
      </w:r>
      <w:r w:rsidRPr="005C0080">
        <w:rPr>
          <w:color w:val="000000" w:themeColor="text1"/>
          <w:sz w:val="24"/>
          <w:szCs w:val="24"/>
        </w:rPr>
        <w:t xml:space="preserve"> and will more surely encourage more PV generation.  Consequently, this watershed event means that the hypothetical “generation shift” scenario described in ENO’s IRP </w:t>
      </w:r>
      <w:r w:rsidR="00F71ED8">
        <w:rPr>
          <w:color w:val="000000" w:themeColor="text1"/>
          <w:sz w:val="24"/>
          <w:szCs w:val="24"/>
        </w:rPr>
        <w:t>may</w:t>
      </w:r>
      <w:r w:rsidR="00F71ED8" w:rsidRPr="005C0080">
        <w:rPr>
          <w:color w:val="000000" w:themeColor="text1"/>
          <w:sz w:val="24"/>
          <w:szCs w:val="24"/>
        </w:rPr>
        <w:t xml:space="preserve"> </w:t>
      </w:r>
      <w:r w:rsidRPr="005C0080">
        <w:rPr>
          <w:color w:val="000000" w:themeColor="text1"/>
          <w:sz w:val="24"/>
          <w:szCs w:val="24"/>
        </w:rPr>
        <w:t xml:space="preserve">now </w:t>
      </w:r>
      <w:r w:rsidR="00F71ED8">
        <w:rPr>
          <w:color w:val="000000" w:themeColor="text1"/>
          <w:sz w:val="24"/>
          <w:szCs w:val="24"/>
        </w:rPr>
        <w:t xml:space="preserve">be </w:t>
      </w:r>
      <w:r w:rsidRPr="005C0080">
        <w:rPr>
          <w:color w:val="000000" w:themeColor="text1"/>
          <w:sz w:val="24"/>
          <w:szCs w:val="24"/>
        </w:rPr>
        <w:t xml:space="preserve">the most likely scenario.  </w:t>
      </w:r>
      <w:r w:rsidR="00FC7548">
        <w:rPr>
          <w:color w:val="000000" w:themeColor="text1"/>
          <w:sz w:val="24"/>
          <w:szCs w:val="24"/>
        </w:rPr>
        <w:t>If that were the case</w:t>
      </w:r>
      <w:r w:rsidRPr="005C0080">
        <w:rPr>
          <w:color w:val="000000" w:themeColor="text1"/>
          <w:sz w:val="24"/>
          <w:szCs w:val="24"/>
        </w:rPr>
        <w:t>, according to ENO’s IRP, the best plan is build a 1.2 GW solar plant, not a 300 MW CT.</w:t>
      </w:r>
    </w:p>
    <w:p w14:paraId="3C3C39FB" w14:textId="74BCEBF5" w:rsidR="005C0080" w:rsidRDefault="005C0080" w:rsidP="001F448F">
      <w:pPr>
        <w:pStyle w:val="ListParagraph"/>
        <w:spacing w:after="180"/>
        <w:ind w:left="0"/>
        <w:contextualSpacing w:val="0"/>
        <w:rPr>
          <w:color w:val="000000" w:themeColor="text1"/>
          <w:sz w:val="24"/>
          <w:szCs w:val="24"/>
        </w:rPr>
      </w:pPr>
      <w:r w:rsidRPr="005C0080">
        <w:rPr>
          <w:color w:val="000000" w:themeColor="text1"/>
          <w:sz w:val="24"/>
          <w:szCs w:val="24"/>
        </w:rPr>
        <w:t>Compounding the failure to adequately price CO</w:t>
      </w:r>
      <w:r w:rsidRPr="005C0080">
        <w:rPr>
          <w:color w:val="000000" w:themeColor="text1"/>
          <w:sz w:val="24"/>
          <w:szCs w:val="24"/>
          <w:vertAlign w:val="subscript"/>
        </w:rPr>
        <w:t>2</w:t>
      </w:r>
      <w:r w:rsidRPr="005C0080">
        <w:rPr>
          <w:color w:val="000000" w:themeColor="text1"/>
          <w:sz w:val="24"/>
          <w:szCs w:val="24"/>
        </w:rPr>
        <w:t xml:space="preserve"> projection is ENO</w:t>
      </w:r>
      <w:r w:rsidR="002B286D">
        <w:rPr>
          <w:color w:val="000000" w:themeColor="text1"/>
          <w:sz w:val="24"/>
          <w:szCs w:val="24"/>
        </w:rPr>
        <w:t>’s fourth error of</w:t>
      </w:r>
      <w:r w:rsidRPr="005C0080">
        <w:rPr>
          <w:color w:val="000000" w:themeColor="text1"/>
          <w:sz w:val="24"/>
          <w:szCs w:val="24"/>
        </w:rPr>
        <w:t xml:space="preserve"> only considered a </w:t>
      </w:r>
      <w:r w:rsidRPr="005C0080">
        <w:rPr>
          <w:color w:val="000000" w:themeColor="text1"/>
          <w:sz w:val="24"/>
          <w:szCs w:val="24"/>
          <w:u w:val="single"/>
        </w:rPr>
        <w:t>utility</w:t>
      </w:r>
      <w:r w:rsidR="00A938CB">
        <w:rPr>
          <w:color w:val="000000" w:themeColor="text1"/>
          <w:sz w:val="24"/>
          <w:szCs w:val="24"/>
        </w:rPr>
        <w:t>-</w:t>
      </w:r>
      <w:r w:rsidR="001707E6">
        <w:rPr>
          <w:color w:val="000000" w:themeColor="text1"/>
          <w:sz w:val="24"/>
          <w:szCs w:val="24"/>
        </w:rPr>
        <w:t>owned</w:t>
      </w:r>
      <w:r w:rsidR="001707E6" w:rsidRPr="005C0080">
        <w:rPr>
          <w:color w:val="000000" w:themeColor="text1"/>
          <w:sz w:val="24"/>
          <w:szCs w:val="24"/>
        </w:rPr>
        <w:t xml:space="preserve"> </w:t>
      </w:r>
      <w:r w:rsidRPr="005C0080">
        <w:rPr>
          <w:color w:val="000000" w:themeColor="text1"/>
          <w:sz w:val="24"/>
          <w:szCs w:val="24"/>
        </w:rPr>
        <w:t xml:space="preserve">solar plant instead of </w:t>
      </w:r>
      <w:r w:rsidRPr="005C0080">
        <w:rPr>
          <w:color w:val="000000" w:themeColor="text1"/>
          <w:sz w:val="24"/>
          <w:szCs w:val="24"/>
          <w:u w:val="single"/>
        </w:rPr>
        <w:t>customer</w:t>
      </w:r>
      <w:r w:rsidR="00A938CB">
        <w:rPr>
          <w:color w:val="000000" w:themeColor="text1"/>
          <w:sz w:val="24"/>
          <w:szCs w:val="24"/>
        </w:rPr>
        <w:t>-</w:t>
      </w:r>
      <w:r w:rsidR="001707E6">
        <w:rPr>
          <w:color w:val="000000" w:themeColor="text1"/>
          <w:sz w:val="24"/>
          <w:szCs w:val="24"/>
        </w:rPr>
        <w:t>owned</w:t>
      </w:r>
      <w:r w:rsidR="001707E6" w:rsidRPr="005C0080">
        <w:rPr>
          <w:color w:val="000000" w:themeColor="text1"/>
          <w:sz w:val="24"/>
          <w:szCs w:val="24"/>
        </w:rPr>
        <w:t xml:space="preserve"> </w:t>
      </w:r>
      <w:r w:rsidRPr="005C0080">
        <w:rPr>
          <w:color w:val="000000" w:themeColor="text1"/>
          <w:sz w:val="24"/>
          <w:szCs w:val="24"/>
        </w:rPr>
        <w:t xml:space="preserve">solar plants. ENO considered a solar plant within its IRP’s alternative generator choices but determined that the solar option only “wins” the competition for best choice in the scenario that assumes </w:t>
      </w:r>
      <w:r w:rsidR="004D68D9">
        <w:rPr>
          <w:color w:val="000000" w:themeColor="text1"/>
          <w:sz w:val="24"/>
          <w:szCs w:val="24"/>
        </w:rPr>
        <w:t>very high</w:t>
      </w:r>
      <w:r w:rsidRPr="005C0080">
        <w:rPr>
          <w:color w:val="000000" w:themeColor="text1"/>
          <w:sz w:val="24"/>
          <w:szCs w:val="24"/>
        </w:rPr>
        <w:t xml:space="preserve"> CO</w:t>
      </w:r>
      <w:r w:rsidRPr="005C0080">
        <w:rPr>
          <w:color w:val="000000" w:themeColor="text1"/>
          <w:sz w:val="24"/>
          <w:szCs w:val="24"/>
          <w:vertAlign w:val="subscript"/>
        </w:rPr>
        <w:t>2</w:t>
      </w:r>
      <w:r w:rsidR="004D68D9">
        <w:rPr>
          <w:color w:val="000000" w:themeColor="text1"/>
          <w:sz w:val="24"/>
          <w:szCs w:val="24"/>
        </w:rPr>
        <w:t xml:space="preserve"> emission prices; this only happens </w:t>
      </w:r>
      <w:r w:rsidRPr="005C0080">
        <w:rPr>
          <w:color w:val="000000" w:themeColor="text1"/>
          <w:sz w:val="24"/>
          <w:szCs w:val="24"/>
        </w:rPr>
        <w:t xml:space="preserve">because of the solar </w:t>
      </w:r>
      <w:r w:rsidR="004D68D9">
        <w:rPr>
          <w:color w:val="000000" w:themeColor="text1"/>
          <w:sz w:val="24"/>
          <w:szCs w:val="24"/>
        </w:rPr>
        <w:t>plant’s very high capital costs.</w:t>
      </w:r>
      <w:r w:rsidRPr="005C0080">
        <w:rPr>
          <w:color w:val="000000" w:themeColor="text1"/>
          <w:sz w:val="24"/>
          <w:szCs w:val="24"/>
        </w:rPr>
        <w:t xml:space="preserve"> However, because </w:t>
      </w:r>
      <w:r w:rsidR="004D68D9" w:rsidRPr="004D68D9">
        <w:rPr>
          <w:color w:val="000000" w:themeColor="text1"/>
          <w:sz w:val="24"/>
          <w:szCs w:val="24"/>
          <w:u w:val="single"/>
        </w:rPr>
        <w:t>customer</w:t>
      </w:r>
      <w:r w:rsidR="004D68D9">
        <w:rPr>
          <w:color w:val="000000" w:themeColor="text1"/>
          <w:sz w:val="24"/>
          <w:szCs w:val="24"/>
        </w:rPr>
        <w:t xml:space="preserve"> </w:t>
      </w:r>
      <w:r w:rsidRPr="005C0080">
        <w:rPr>
          <w:color w:val="000000" w:themeColor="text1"/>
          <w:sz w:val="24"/>
          <w:szCs w:val="24"/>
        </w:rPr>
        <w:t xml:space="preserve">solar power </w:t>
      </w:r>
      <w:r w:rsidR="001707E6">
        <w:rPr>
          <w:color w:val="000000" w:themeColor="text1"/>
          <w:sz w:val="24"/>
          <w:szCs w:val="24"/>
        </w:rPr>
        <w:t>does</w:t>
      </w:r>
      <w:r w:rsidR="001707E6" w:rsidRPr="005C0080">
        <w:rPr>
          <w:color w:val="000000" w:themeColor="text1"/>
          <w:sz w:val="24"/>
          <w:szCs w:val="24"/>
        </w:rPr>
        <w:t xml:space="preserve"> </w:t>
      </w:r>
      <w:r w:rsidRPr="005C0080">
        <w:rPr>
          <w:color w:val="000000" w:themeColor="text1"/>
          <w:sz w:val="24"/>
          <w:szCs w:val="24"/>
        </w:rPr>
        <w:t>not have any capital costs borne by the utility, the solar option should “win” in every scenario.</w:t>
      </w:r>
    </w:p>
    <w:p w14:paraId="6D8920DB" w14:textId="6E112C1A" w:rsidR="005C0080" w:rsidRDefault="002B286D" w:rsidP="001F448F">
      <w:pPr>
        <w:pStyle w:val="ListParagraph"/>
        <w:spacing w:after="180"/>
        <w:ind w:left="0"/>
        <w:contextualSpacing w:val="0"/>
        <w:rPr>
          <w:color w:val="000000" w:themeColor="text1"/>
          <w:sz w:val="24"/>
          <w:szCs w:val="24"/>
        </w:rPr>
      </w:pPr>
      <w:r>
        <w:rPr>
          <w:color w:val="000000" w:themeColor="text1"/>
          <w:sz w:val="24"/>
          <w:szCs w:val="24"/>
        </w:rPr>
        <w:t>A fifth fa</w:t>
      </w:r>
      <w:r w:rsidR="00FC7548">
        <w:rPr>
          <w:color w:val="000000" w:themeColor="text1"/>
          <w:sz w:val="24"/>
          <w:szCs w:val="24"/>
        </w:rPr>
        <w:t>tal flaw is ENO’s use of “black-</w:t>
      </w:r>
      <w:r>
        <w:rPr>
          <w:color w:val="000000" w:themeColor="text1"/>
          <w:sz w:val="24"/>
          <w:szCs w:val="24"/>
        </w:rPr>
        <w:t>box” data to develop cost assumptions for utility solar. Instead of utilizing a public report on such cost assumptions, ENO commissioned a “proprietary" report which hides these cost assumptions in a black box which cannot be examined by the other parties or the public.</w:t>
      </w:r>
      <w:r>
        <w:rPr>
          <w:rStyle w:val="EndnoteReference"/>
          <w:color w:val="000000" w:themeColor="text1"/>
          <w:sz w:val="24"/>
          <w:szCs w:val="24"/>
        </w:rPr>
        <w:endnoteReference w:id="4"/>
      </w:r>
      <w:r w:rsidR="00FC7548">
        <w:rPr>
          <w:color w:val="000000" w:themeColor="text1"/>
          <w:sz w:val="24"/>
          <w:szCs w:val="24"/>
        </w:rPr>
        <w:t xml:space="preserve">  Such black-</w:t>
      </w:r>
      <w:r>
        <w:rPr>
          <w:color w:val="000000" w:themeColor="text1"/>
          <w:sz w:val="24"/>
          <w:szCs w:val="24"/>
        </w:rPr>
        <w:t xml:space="preserve">box data should never be used in an IRP, particularly on a fundamental core issue – the cost of power generation.   </w:t>
      </w:r>
    </w:p>
    <w:p w14:paraId="145AA391" w14:textId="62AC48AD" w:rsidR="00A938CB" w:rsidRDefault="00A938CB" w:rsidP="001F448F">
      <w:pPr>
        <w:pStyle w:val="ListParagraph"/>
        <w:spacing w:after="180"/>
        <w:ind w:left="0"/>
        <w:contextualSpacing w:val="0"/>
        <w:rPr>
          <w:color w:val="000000" w:themeColor="text1"/>
          <w:sz w:val="24"/>
          <w:szCs w:val="24"/>
        </w:rPr>
      </w:pPr>
      <w:r>
        <w:rPr>
          <w:color w:val="000000" w:themeColor="text1"/>
          <w:sz w:val="24"/>
          <w:szCs w:val="24"/>
        </w:rPr>
        <w:t xml:space="preserve">A </w:t>
      </w:r>
      <w:r w:rsidR="002B286D">
        <w:rPr>
          <w:color w:val="000000" w:themeColor="text1"/>
          <w:sz w:val="24"/>
          <w:szCs w:val="24"/>
        </w:rPr>
        <w:t>six</w:t>
      </w:r>
      <w:r>
        <w:rPr>
          <w:color w:val="000000" w:themeColor="text1"/>
          <w:sz w:val="24"/>
          <w:szCs w:val="24"/>
        </w:rPr>
        <w:t>th error is to fundamentally ignore the fact that ENO’s demand-side management (DSM) program success is paltry compared to what is already working at other utilities.  BSI explains how multiple DSM pathways can be easily employed to fill the projected 300 MW gap between supply and demand fast enough and much more cheaply than building a fossil-fuel-powered generator.</w:t>
      </w:r>
    </w:p>
    <w:p w14:paraId="233814A5" w14:textId="12A42CF6" w:rsidR="00A938CB" w:rsidRDefault="005C0080" w:rsidP="001F448F">
      <w:pPr>
        <w:pStyle w:val="ListParagraph"/>
        <w:spacing w:after="120"/>
        <w:ind w:left="0"/>
        <w:rPr>
          <w:color w:val="000000" w:themeColor="text1"/>
          <w:sz w:val="24"/>
          <w:szCs w:val="24"/>
        </w:rPr>
      </w:pPr>
      <w:r w:rsidRPr="005C0080">
        <w:rPr>
          <w:color w:val="000000" w:themeColor="text1"/>
          <w:sz w:val="24"/>
          <w:szCs w:val="24"/>
        </w:rPr>
        <w:t xml:space="preserve">BSI submits that any one of the </w:t>
      </w:r>
      <w:r w:rsidR="002B286D">
        <w:rPr>
          <w:color w:val="000000" w:themeColor="text1"/>
          <w:sz w:val="24"/>
          <w:szCs w:val="24"/>
        </w:rPr>
        <w:t>six</w:t>
      </w:r>
      <w:r w:rsidR="00A938CB">
        <w:rPr>
          <w:color w:val="000000" w:themeColor="text1"/>
          <w:sz w:val="24"/>
          <w:szCs w:val="24"/>
        </w:rPr>
        <w:t xml:space="preserve"> </w:t>
      </w:r>
      <w:r w:rsidR="00F71ED8">
        <w:rPr>
          <w:color w:val="000000" w:themeColor="text1"/>
          <w:sz w:val="24"/>
          <w:szCs w:val="24"/>
        </w:rPr>
        <w:t>preceding</w:t>
      </w:r>
      <w:r w:rsidR="00F71ED8" w:rsidRPr="005C0080">
        <w:rPr>
          <w:color w:val="000000" w:themeColor="text1"/>
          <w:sz w:val="24"/>
          <w:szCs w:val="24"/>
        </w:rPr>
        <w:t xml:space="preserve"> </w:t>
      </w:r>
      <w:r w:rsidRPr="005C0080">
        <w:rPr>
          <w:color w:val="000000" w:themeColor="text1"/>
          <w:sz w:val="24"/>
          <w:szCs w:val="24"/>
        </w:rPr>
        <w:t xml:space="preserve">errors is a fatal flaw which makes ENO’s conclusion that the best plan is to build a 300 MW CT </w:t>
      </w:r>
      <w:r w:rsidR="001F448F">
        <w:rPr>
          <w:color w:val="000000" w:themeColor="text1"/>
          <w:sz w:val="24"/>
          <w:szCs w:val="24"/>
        </w:rPr>
        <w:t>without credibility</w:t>
      </w:r>
      <w:r w:rsidRPr="005C0080">
        <w:rPr>
          <w:color w:val="000000" w:themeColor="text1"/>
          <w:sz w:val="24"/>
          <w:szCs w:val="24"/>
        </w:rPr>
        <w:t>.  Accordingly, BSI submits that the Draft IRP should be rejected and that ENO should be directed to perform a new IRP</w:t>
      </w:r>
      <w:r w:rsidR="00A938CB" w:rsidRPr="00A938CB">
        <w:rPr>
          <w:color w:val="000000" w:themeColor="text1"/>
          <w:sz w:val="24"/>
          <w:szCs w:val="24"/>
        </w:rPr>
        <w:t xml:space="preserve"> </w:t>
      </w:r>
      <w:r w:rsidR="001707E6">
        <w:rPr>
          <w:color w:val="000000" w:themeColor="text1"/>
          <w:sz w:val="24"/>
          <w:szCs w:val="24"/>
        </w:rPr>
        <w:t xml:space="preserve">utilizing </w:t>
      </w:r>
      <w:r w:rsidR="001707E6" w:rsidRPr="005C0080">
        <w:rPr>
          <w:color w:val="000000" w:themeColor="text1"/>
          <w:sz w:val="24"/>
          <w:szCs w:val="24"/>
        </w:rPr>
        <w:t>a robust risk analysis similar to that performed by other utilities</w:t>
      </w:r>
      <w:r w:rsidR="001707E6">
        <w:rPr>
          <w:color w:val="000000" w:themeColor="text1"/>
          <w:sz w:val="24"/>
          <w:szCs w:val="24"/>
        </w:rPr>
        <w:t xml:space="preserve"> which</w:t>
      </w:r>
      <w:r w:rsidR="001707E6" w:rsidRPr="005C0080">
        <w:rPr>
          <w:color w:val="000000" w:themeColor="text1"/>
          <w:sz w:val="24"/>
          <w:szCs w:val="24"/>
        </w:rPr>
        <w:t xml:space="preserve"> </w:t>
      </w:r>
      <w:r w:rsidR="001707E6">
        <w:rPr>
          <w:color w:val="000000" w:themeColor="text1"/>
          <w:sz w:val="24"/>
          <w:szCs w:val="24"/>
        </w:rPr>
        <w:t>takes</w:t>
      </w:r>
      <w:r w:rsidR="00A938CB" w:rsidRPr="005C0080">
        <w:rPr>
          <w:color w:val="000000" w:themeColor="text1"/>
          <w:sz w:val="24"/>
          <w:szCs w:val="24"/>
        </w:rPr>
        <w:t xml:space="preserve"> into account</w:t>
      </w:r>
      <w:r w:rsidRPr="005C0080">
        <w:rPr>
          <w:color w:val="000000" w:themeColor="text1"/>
          <w:sz w:val="24"/>
          <w:szCs w:val="24"/>
        </w:rPr>
        <w:t xml:space="preserve">: </w:t>
      </w:r>
    </w:p>
    <w:p w14:paraId="47E70B9D" w14:textId="3F416832" w:rsidR="00A938CB" w:rsidRPr="00CE00DF" w:rsidRDefault="009E1171" w:rsidP="001F448F">
      <w:pPr>
        <w:pStyle w:val="ListParagraph"/>
        <w:numPr>
          <w:ilvl w:val="0"/>
          <w:numId w:val="40"/>
        </w:numPr>
        <w:spacing w:after="120"/>
        <w:rPr>
          <w:color w:val="000000" w:themeColor="text1"/>
          <w:sz w:val="24"/>
          <w:szCs w:val="24"/>
        </w:rPr>
      </w:pPr>
      <w:r>
        <w:rPr>
          <w:color w:val="000000" w:themeColor="text1"/>
          <w:sz w:val="24"/>
          <w:szCs w:val="24"/>
        </w:rPr>
        <w:t>one alternative resource option is “build nothing”</w:t>
      </w:r>
    </w:p>
    <w:p w14:paraId="18C1B658" w14:textId="624D74CE" w:rsidR="00A938CB" w:rsidRDefault="005C0080" w:rsidP="001F448F">
      <w:pPr>
        <w:pStyle w:val="ListParagraph"/>
        <w:numPr>
          <w:ilvl w:val="0"/>
          <w:numId w:val="40"/>
        </w:numPr>
        <w:spacing w:after="120"/>
        <w:rPr>
          <w:color w:val="000000" w:themeColor="text1"/>
          <w:sz w:val="24"/>
          <w:szCs w:val="24"/>
        </w:rPr>
      </w:pPr>
      <w:r w:rsidRPr="005C0080">
        <w:rPr>
          <w:color w:val="000000" w:themeColor="text1"/>
          <w:sz w:val="24"/>
          <w:szCs w:val="24"/>
        </w:rPr>
        <w:t>CO</w:t>
      </w:r>
      <w:r w:rsidRPr="005C0080">
        <w:rPr>
          <w:color w:val="000000" w:themeColor="text1"/>
          <w:sz w:val="24"/>
          <w:szCs w:val="24"/>
          <w:vertAlign w:val="subscript"/>
        </w:rPr>
        <w:t>2</w:t>
      </w:r>
      <w:r w:rsidRPr="005C0080">
        <w:rPr>
          <w:color w:val="000000" w:themeColor="text1"/>
          <w:sz w:val="24"/>
          <w:szCs w:val="24"/>
        </w:rPr>
        <w:t xml:space="preserve"> </w:t>
      </w:r>
      <w:r w:rsidR="00A938CB">
        <w:rPr>
          <w:color w:val="000000" w:themeColor="text1"/>
          <w:sz w:val="24"/>
          <w:szCs w:val="24"/>
        </w:rPr>
        <w:t xml:space="preserve">emission price </w:t>
      </w:r>
      <w:r w:rsidRPr="005C0080">
        <w:rPr>
          <w:color w:val="000000" w:themeColor="text1"/>
          <w:sz w:val="24"/>
          <w:szCs w:val="24"/>
        </w:rPr>
        <w:t>in light of the recent EPA Clean Power Plan announcement</w:t>
      </w:r>
      <w:r w:rsidR="00A938CB">
        <w:rPr>
          <w:color w:val="000000" w:themeColor="text1"/>
          <w:sz w:val="24"/>
          <w:szCs w:val="24"/>
        </w:rPr>
        <w:t xml:space="preserve">; </w:t>
      </w:r>
    </w:p>
    <w:p w14:paraId="0BAFA16E" w14:textId="00455254" w:rsidR="00A938CB" w:rsidRDefault="00A938CB" w:rsidP="001F448F">
      <w:pPr>
        <w:pStyle w:val="ListParagraph"/>
        <w:numPr>
          <w:ilvl w:val="0"/>
          <w:numId w:val="40"/>
        </w:numPr>
        <w:spacing w:after="120"/>
        <w:rPr>
          <w:color w:val="000000" w:themeColor="text1"/>
          <w:sz w:val="24"/>
          <w:szCs w:val="24"/>
        </w:rPr>
      </w:pPr>
      <w:r>
        <w:rPr>
          <w:color w:val="000000" w:themeColor="text1"/>
          <w:sz w:val="24"/>
          <w:szCs w:val="24"/>
        </w:rPr>
        <w:t xml:space="preserve">economics of battery storage when grid installed vs consumer installed; </w:t>
      </w:r>
    </w:p>
    <w:p w14:paraId="4099492B" w14:textId="4B40272C" w:rsidR="00A938CB" w:rsidRDefault="00A938CB" w:rsidP="001F448F">
      <w:pPr>
        <w:pStyle w:val="ListParagraph"/>
        <w:numPr>
          <w:ilvl w:val="0"/>
          <w:numId w:val="40"/>
        </w:numPr>
        <w:spacing w:after="120"/>
        <w:rPr>
          <w:color w:val="000000" w:themeColor="text1"/>
          <w:sz w:val="24"/>
          <w:szCs w:val="24"/>
        </w:rPr>
      </w:pPr>
      <w:r>
        <w:rPr>
          <w:color w:val="000000" w:themeColor="text1"/>
          <w:sz w:val="24"/>
          <w:szCs w:val="24"/>
        </w:rPr>
        <w:t xml:space="preserve">economics of PV when utility owned vs consumer owned; and </w:t>
      </w:r>
    </w:p>
    <w:p w14:paraId="28B00E79" w14:textId="145994C1" w:rsidR="00A938CB" w:rsidRDefault="00A938CB" w:rsidP="001F448F">
      <w:pPr>
        <w:pStyle w:val="ListParagraph"/>
        <w:numPr>
          <w:ilvl w:val="0"/>
          <w:numId w:val="40"/>
        </w:numPr>
        <w:spacing w:after="120"/>
        <w:rPr>
          <w:color w:val="000000" w:themeColor="text1"/>
          <w:sz w:val="24"/>
          <w:szCs w:val="24"/>
        </w:rPr>
      </w:pPr>
      <w:r>
        <w:rPr>
          <w:color w:val="000000" w:themeColor="text1"/>
          <w:sz w:val="24"/>
          <w:szCs w:val="24"/>
        </w:rPr>
        <w:t xml:space="preserve">economics of DSM in all four of its various forms: </w:t>
      </w:r>
    </w:p>
    <w:p w14:paraId="690C8126" w14:textId="77777777" w:rsidR="00A938CB" w:rsidRDefault="00A938CB" w:rsidP="001F448F">
      <w:pPr>
        <w:pStyle w:val="ListParagraph"/>
        <w:numPr>
          <w:ilvl w:val="0"/>
          <w:numId w:val="41"/>
        </w:numPr>
        <w:spacing w:after="120"/>
        <w:rPr>
          <w:color w:val="000000" w:themeColor="text1"/>
          <w:sz w:val="24"/>
          <w:szCs w:val="24"/>
        </w:rPr>
      </w:pPr>
      <w:r>
        <w:rPr>
          <w:color w:val="000000" w:themeColor="text1"/>
          <w:sz w:val="24"/>
          <w:szCs w:val="24"/>
        </w:rPr>
        <w:t xml:space="preserve">Energy-Efficiency, </w:t>
      </w:r>
    </w:p>
    <w:p w14:paraId="2783C8C0" w14:textId="77777777" w:rsidR="00A938CB" w:rsidRDefault="00A938CB" w:rsidP="001F448F">
      <w:pPr>
        <w:pStyle w:val="ListParagraph"/>
        <w:numPr>
          <w:ilvl w:val="0"/>
          <w:numId w:val="41"/>
        </w:numPr>
        <w:spacing w:after="120"/>
        <w:rPr>
          <w:color w:val="000000" w:themeColor="text1"/>
          <w:sz w:val="24"/>
          <w:szCs w:val="24"/>
        </w:rPr>
      </w:pPr>
      <w:r>
        <w:rPr>
          <w:color w:val="000000" w:themeColor="text1"/>
          <w:sz w:val="24"/>
          <w:szCs w:val="24"/>
        </w:rPr>
        <w:t xml:space="preserve">Demand Response, </w:t>
      </w:r>
    </w:p>
    <w:p w14:paraId="2FC87FDB" w14:textId="4CCDF5C0" w:rsidR="00A938CB" w:rsidRDefault="00A938CB" w:rsidP="001F448F">
      <w:pPr>
        <w:pStyle w:val="ListParagraph"/>
        <w:numPr>
          <w:ilvl w:val="0"/>
          <w:numId w:val="41"/>
        </w:numPr>
        <w:spacing w:after="120"/>
        <w:rPr>
          <w:color w:val="000000" w:themeColor="text1"/>
          <w:sz w:val="24"/>
          <w:szCs w:val="24"/>
        </w:rPr>
      </w:pPr>
      <w:r>
        <w:rPr>
          <w:color w:val="000000" w:themeColor="text1"/>
          <w:sz w:val="24"/>
          <w:szCs w:val="24"/>
        </w:rPr>
        <w:t xml:space="preserve">PV installations,  and </w:t>
      </w:r>
    </w:p>
    <w:p w14:paraId="64F7B7C3" w14:textId="622A9FD7" w:rsidR="002B286D" w:rsidRPr="001F448F" w:rsidRDefault="00A938CB" w:rsidP="001F448F">
      <w:pPr>
        <w:pStyle w:val="ListParagraph"/>
        <w:numPr>
          <w:ilvl w:val="0"/>
          <w:numId w:val="41"/>
        </w:numPr>
        <w:spacing w:after="180"/>
        <w:contextualSpacing w:val="0"/>
        <w:rPr>
          <w:color w:val="000000" w:themeColor="text1"/>
          <w:sz w:val="24"/>
          <w:szCs w:val="24"/>
        </w:rPr>
      </w:pPr>
      <w:r>
        <w:rPr>
          <w:color w:val="000000" w:themeColor="text1"/>
          <w:sz w:val="24"/>
          <w:szCs w:val="24"/>
        </w:rPr>
        <w:t>Battery installations.</w:t>
      </w:r>
      <w:r w:rsidR="005C0080" w:rsidRPr="005C0080">
        <w:rPr>
          <w:color w:val="000000" w:themeColor="text1"/>
          <w:sz w:val="24"/>
          <w:szCs w:val="24"/>
        </w:rPr>
        <w:t xml:space="preserve"> </w:t>
      </w:r>
    </w:p>
    <w:p w14:paraId="6AFFAF02" w14:textId="77777777" w:rsidR="002B286D" w:rsidRDefault="002B286D" w:rsidP="002B286D">
      <w:pPr>
        <w:pStyle w:val="ListParagraph"/>
        <w:spacing w:after="0"/>
        <w:ind w:left="0"/>
        <w:rPr>
          <w:color w:val="000000" w:themeColor="text1"/>
          <w:sz w:val="24"/>
          <w:szCs w:val="24"/>
        </w:rPr>
      </w:pPr>
      <w:r>
        <w:rPr>
          <w:color w:val="000000" w:themeColor="text1"/>
          <w:sz w:val="24"/>
          <w:szCs w:val="24"/>
        </w:rPr>
        <w:t xml:space="preserve">Furthermore, ENO should be directed not to utilize “proprietary” data prepared by outside parties which cannot be examined by other parties or the public. </w:t>
      </w:r>
    </w:p>
    <w:p w14:paraId="6386E9F3" w14:textId="77777777" w:rsidR="005C0080" w:rsidRPr="005C0080" w:rsidRDefault="005C0080" w:rsidP="005C0080">
      <w:pPr>
        <w:pStyle w:val="ListParagraph"/>
        <w:spacing w:after="0"/>
        <w:ind w:left="0"/>
        <w:rPr>
          <w:color w:val="000000" w:themeColor="text1"/>
          <w:sz w:val="24"/>
          <w:szCs w:val="24"/>
        </w:rPr>
      </w:pPr>
    </w:p>
    <w:p w14:paraId="49C9F960" w14:textId="77777777" w:rsidR="005C0080" w:rsidRPr="005C0080" w:rsidRDefault="005C0080" w:rsidP="005C0080">
      <w:pPr>
        <w:pStyle w:val="ListParagraph"/>
        <w:spacing w:after="0"/>
        <w:ind w:left="0"/>
        <w:rPr>
          <w:b/>
          <w:color w:val="000000" w:themeColor="text1"/>
          <w:sz w:val="24"/>
          <w:szCs w:val="24"/>
        </w:rPr>
      </w:pPr>
      <w:r w:rsidRPr="005C0080">
        <w:rPr>
          <w:b/>
          <w:color w:val="000000" w:themeColor="text1"/>
          <w:sz w:val="24"/>
          <w:szCs w:val="24"/>
        </w:rPr>
        <w:lastRenderedPageBreak/>
        <w:t xml:space="preserve">The Draft IRP fails to adequately discuss how the closure of the Michoud power plant may affect ENO’s planning reserve margins and ENO’s membership in MISO. </w:t>
      </w:r>
    </w:p>
    <w:p w14:paraId="6470B981" w14:textId="77777777" w:rsidR="005C0080" w:rsidRPr="005C0080" w:rsidRDefault="005C0080" w:rsidP="005C0080">
      <w:pPr>
        <w:pStyle w:val="ListParagraph"/>
        <w:spacing w:after="0"/>
        <w:ind w:left="0"/>
        <w:rPr>
          <w:color w:val="000000" w:themeColor="text1"/>
          <w:sz w:val="24"/>
          <w:szCs w:val="24"/>
        </w:rPr>
      </w:pPr>
    </w:p>
    <w:p w14:paraId="53897DB4" w14:textId="66168D9B" w:rsidR="005C0080" w:rsidRPr="005C0080" w:rsidRDefault="005C0080" w:rsidP="005C0080">
      <w:pPr>
        <w:pStyle w:val="ListParagraph"/>
        <w:spacing w:after="0"/>
        <w:ind w:left="0"/>
        <w:rPr>
          <w:color w:val="000000" w:themeColor="text1"/>
          <w:sz w:val="24"/>
          <w:szCs w:val="24"/>
        </w:rPr>
      </w:pPr>
      <w:r w:rsidRPr="005C0080">
        <w:rPr>
          <w:color w:val="000000" w:themeColor="text1"/>
          <w:sz w:val="24"/>
          <w:szCs w:val="24"/>
        </w:rPr>
        <w:t xml:space="preserve">A </w:t>
      </w:r>
      <w:r w:rsidR="002B286D">
        <w:rPr>
          <w:color w:val="000000" w:themeColor="text1"/>
          <w:sz w:val="24"/>
          <w:szCs w:val="24"/>
        </w:rPr>
        <w:t>seventh</w:t>
      </w:r>
      <w:r w:rsidR="009E1171" w:rsidRPr="005C0080">
        <w:rPr>
          <w:color w:val="000000" w:themeColor="text1"/>
          <w:sz w:val="24"/>
          <w:szCs w:val="24"/>
        </w:rPr>
        <w:t xml:space="preserve"> </w:t>
      </w:r>
      <w:r w:rsidR="002B286D">
        <w:rPr>
          <w:color w:val="000000" w:themeColor="text1"/>
          <w:sz w:val="24"/>
          <w:szCs w:val="24"/>
        </w:rPr>
        <w:t>major error is</w:t>
      </w:r>
      <w:r w:rsidRPr="005C0080">
        <w:rPr>
          <w:color w:val="000000" w:themeColor="text1"/>
          <w:sz w:val="24"/>
          <w:szCs w:val="24"/>
        </w:rPr>
        <w:t xml:space="preserve"> ENO</w:t>
      </w:r>
      <w:r w:rsidR="002B286D">
        <w:rPr>
          <w:color w:val="000000" w:themeColor="text1"/>
          <w:sz w:val="24"/>
          <w:szCs w:val="24"/>
        </w:rPr>
        <w:t>’s failure</w:t>
      </w:r>
      <w:r w:rsidRPr="005C0080">
        <w:rPr>
          <w:color w:val="000000" w:themeColor="text1"/>
          <w:sz w:val="24"/>
          <w:szCs w:val="24"/>
        </w:rPr>
        <w:t xml:space="preserve"> to adequately discuss how the closure of the Michoud power plant may affect ENO’s planning reserve margins and ENO’s membership in the Midcontinental Independent System Operator [MISO] wholesale electricity marketplace.  ENO has often used this market to supply itself with power or sell ENO’s power when prices were favorable.  MISO often has a gross excess supply of power between midnight and 6 AM.</w:t>
      </w:r>
    </w:p>
    <w:p w14:paraId="5CA8352F" w14:textId="77777777" w:rsidR="005C0080" w:rsidRPr="005C0080" w:rsidRDefault="005C0080" w:rsidP="005C0080">
      <w:pPr>
        <w:pStyle w:val="ListParagraph"/>
        <w:spacing w:after="0"/>
        <w:rPr>
          <w:color w:val="000000" w:themeColor="text1"/>
          <w:sz w:val="24"/>
          <w:szCs w:val="24"/>
        </w:rPr>
      </w:pPr>
    </w:p>
    <w:p w14:paraId="3C0D4143" w14:textId="296A7B4B" w:rsidR="005C0080" w:rsidRPr="005C0080" w:rsidRDefault="005C0080" w:rsidP="005C0080">
      <w:pPr>
        <w:pStyle w:val="ListParagraph"/>
        <w:spacing w:after="0"/>
        <w:ind w:left="0"/>
        <w:rPr>
          <w:rStyle w:val="ms-sitemapdirectional"/>
          <w:color w:val="000000" w:themeColor="text1"/>
          <w:sz w:val="24"/>
          <w:szCs w:val="24"/>
        </w:rPr>
      </w:pPr>
      <w:r w:rsidRPr="005C0080">
        <w:rPr>
          <w:color w:val="000000" w:themeColor="text1"/>
          <w:sz w:val="24"/>
          <w:szCs w:val="24"/>
        </w:rPr>
        <w:t xml:space="preserve">MISO has a membership requirement for a load center like ENO, namely, that ENO’s “Planning Reserve Margin” of capacity must exceed its annual peak demand by at least 12% or 14% and this requirement will grow in the future to over 17% in twenty years.  Therefore, shutting down Michoud could jeopardize ENO’s membership in MISO.  Because there is over 8,000 MW of capacity in excess of the demand needs within MISO, it is not in ENO’s customers’ best interest for ENO to close itself off from this rich buyer’s market selling power.  </w:t>
      </w:r>
      <w:r w:rsidRPr="005C0080">
        <w:rPr>
          <w:rStyle w:val="ms-sitemapdirectional"/>
          <w:color w:val="000000" w:themeColor="text1"/>
          <w:sz w:val="24"/>
          <w:szCs w:val="24"/>
        </w:rPr>
        <w:t>ENO’s hidden agenda may be to close Michoud down in order to create a shortage in its planning reserve margin requirements so that ENO can claim that because no</w:t>
      </w:r>
      <w:r w:rsidR="009E1171">
        <w:rPr>
          <w:rStyle w:val="ms-sitemapdirectional"/>
          <w:color w:val="000000" w:themeColor="text1"/>
          <w:sz w:val="24"/>
          <w:szCs w:val="24"/>
        </w:rPr>
        <w:t xml:space="preserve"> zonal resource credits</w:t>
      </w:r>
      <w:r w:rsidRPr="005C0080">
        <w:rPr>
          <w:rStyle w:val="ms-sitemapdirectional"/>
          <w:color w:val="000000" w:themeColor="text1"/>
          <w:sz w:val="24"/>
          <w:szCs w:val="24"/>
        </w:rPr>
        <w:t xml:space="preserve"> </w:t>
      </w:r>
      <w:r w:rsidR="009E1171">
        <w:rPr>
          <w:rStyle w:val="ms-sitemapdirectional"/>
          <w:color w:val="000000" w:themeColor="text1"/>
          <w:sz w:val="24"/>
          <w:szCs w:val="24"/>
        </w:rPr>
        <w:t>(</w:t>
      </w:r>
      <w:r w:rsidRPr="005C0080">
        <w:rPr>
          <w:rStyle w:val="ms-sitemapdirectional"/>
          <w:color w:val="000000" w:themeColor="text1"/>
          <w:sz w:val="24"/>
          <w:szCs w:val="24"/>
        </w:rPr>
        <w:t>ZRCs</w:t>
      </w:r>
      <w:r w:rsidR="009E1171">
        <w:rPr>
          <w:rStyle w:val="ms-sitemapdirectional"/>
          <w:color w:val="000000" w:themeColor="text1"/>
          <w:sz w:val="24"/>
          <w:szCs w:val="24"/>
        </w:rPr>
        <w:t>)</w:t>
      </w:r>
      <w:r w:rsidRPr="005C0080">
        <w:rPr>
          <w:rStyle w:val="EndnoteReference"/>
          <w:color w:val="000000" w:themeColor="text1"/>
          <w:sz w:val="24"/>
          <w:szCs w:val="24"/>
        </w:rPr>
        <w:endnoteReference w:id="5"/>
      </w:r>
      <w:r w:rsidRPr="005C0080">
        <w:rPr>
          <w:rStyle w:val="ms-sitemapdirectional"/>
          <w:color w:val="000000" w:themeColor="text1"/>
          <w:sz w:val="24"/>
          <w:szCs w:val="24"/>
        </w:rPr>
        <w:t xml:space="preserve">  are available to ENO, the only way to remain in MISO is to purchase a portion of another Entergy power plant.  BSI urges in the strongest terms possible that the Council must require ENO to have a long-term agreement for </w:t>
      </w:r>
      <w:r w:rsidR="009E1171">
        <w:rPr>
          <w:rStyle w:val="ms-sitemapdirectional"/>
          <w:color w:val="000000" w:themeColor="text1"/>
          <w:sz w:val="24"/>
          <w:szCs w:val="24"/>
        </w:rPr>
        <w:t xml:space="preserve">the option to buy adequate </w:t>
      </w:r>
      <w:r w:rsidRPr="005C0080">
        <w:rPr>
          <w:rStyle w:val="ms-sitemapdirectional"/>
          <w:color w:val="000000" w:themeColor="text1"/>
          <w:sz w:val="24"/>
          <w:szCs w:val="24"/>
        </w:rPr>
        <w:t xml:space="preserve">ZRCs </w:t>
      </w:r>
      <w:r w:rsidR="009E1171">
        <w:rPr>
          <w:rStyle w:val="ms-sitemapdirectional"/>
          <w:color w:val="000000" w:themeColor="text1"/>
          <w:sz w:val="24"/>
          <w:szCs w:val="24"/>
        </w:rPr>
        <w:t xml:space="preserve">from Entergy </w:t>
      </w:r>
      <w:r w:rsidRPr="005C0080">
        <w:rPr>
          <w:rStyle w:val="ms-sitemapdirectional"/>
          <w:color w:val="000000" w:themeColor="text1"/>
          <w:sz w:val="24"/>
          <w:szCs w:val="24"/>
        </w:rPr>
        <w:t>in place prior to closing Michoud.</w:t>
      </w:r>
    </w:p>
    <w:p w14:paraId="638D8479" w14:textId="77777777" w:rsidR="005C0080" w:rsidRPr="005C0080" w:rsidRDefault="005C0080" w:rsidP="005C0080">
      <w:pPr>
        <w:pStyle w:val="ListParagraph"/>
        <w:spacing w:after="0"/>
        <w:ind w:left="0"/>
        <w:rPr>
          <w:color w:val="000000" w:themeColor="text1"/>
          <w:sz w:val="24"/>
          <w:szCs w:val="24"/>
        </w:rPr>
      </w:pPr>
    </w:p>
    <w:p w14:paraId="3F5D9CA7" w14:textId="77777777" w:rsidR="001F448F" w:rsidRPr="005C0080" w:rsidRDefault="001F448F" w:rsidP="005C0080">
      <w:pPr>
        <w:pStyle w:val="ListParagraph"/>
        <w:spacing w:after="0"/>
        <w:ind w:left="0"/>
        <w:rPr>
          <w:b/>
          <w:color w:val="000000" w:themeColor="text1"/>
          <w:sz w:val="24"/>
          <w:szCs w:val="24"/>
        </w:rPr>
      </w:pPr>
    </w:p>
    <w:p w14:paraId="06E47A6D" w14:textId="41859272" w:rsidR="005C0080" w:rsidRPr="005C0080" w:rsidRDefault="005C0080" w:rsidP="005C0080">
      <w:pPr>
        <w:pStyle w:val="ListParagraph"/>
        <w:spacing w:after="120"/>
        <w:ind w:left="0"/>
        <w:contextualSpacing w:val="0"/>
        <w:jc w:val="center"/>
        <w:rPr>
          <w:color w:val="000000" w:themeColor="text1"/>
          <w:sz w:val="24"/>
          <w:szCs w:val="24"/>
        </w:rPr>
      </w:pPr>
      <w:r w:rsidRPr="005C0080">
        <w:rPr>
          <w:color w:val="000000" w:themeColor="text1"/>
          <w:sz w:val="24"/>
          <w:szCs w:val="24"/>
        </w:rPr>
        <w:t xml:space="preserve">ENO’s IRP’s </w:t>
      </w:r>
      <w:r w:rsidR="00A97B5D">
        <w:rPr>
          <w:color w:val="000000" w:themeColor="text1"/>
          <w:sz w:val="24"/>
          <w:szCs w:val="24"/>
        </w:rPr>
        <w:t xml:space="preserve">Main </w:t>
      </w:r>
      <w:r w:rsidRPr="005C0080">
        <w:rPr>
          <w:color w:val="000000" w:themeColor="text1"/>
          <w:sz w:val="24"/>
          <w:szCs w:val="24"/>
        </w:rPr>
        <w:t>Argument</w:t>
      </w:r>
    </w:p>
    <w:p w14:paraId="4A110C89" w14:textId="64444C05" w:rsidR="005C0080" w:rsidRPr="005C0080" w:rsidRDefault="005C0080" w:rsidP="00795D6C">
      <w:pPr>
        <w:pStyle w:val="ListParagraph"/>
        <w:numPr>
          <w:ilvl w:val="0"/>
          <w:numId w:val="23"/>
        </w:numPr>
        <w:spacing w:after="0"/>
        <w:rPr>
          <w:color w:val="000000" w:themeColor="text1"/>
          <w:sz w:val="24"/>
          <w:szCs w:val="24"/>
        </w:rPr>
      </w:pPr>
      <w:r w:rsidRPr="005C0080">
        <w:rPr>
          <w:color w:val="000000" w:themeColor="text1"/>
          <w:sz w:val="24"/>
          <w:szCs w:val="24"/>
        </w:rPr>
        <w:t xml:space="preserve">ENO’s peak demand is and will be over 300 MW higher than can be economically furnished </w:t>
      </w:r>
      <w:r w:rsidR="00A97B5D">
        <w:rPr>
          <w:color w:val="000000" w:themeColor="text1"/>
          <w:sz w:val="24"/>
          <w:szCs w:val="24"/>
        </w:rPr>
        <w:t>using</w:t>
      </w:r>
      <w:r w:rsidRPr="005C0080">
        <w:rPr>
          <w:color w:val="000000" w:themeColor="text1"/>
          <w:sz w:val="24"/>
          <w:szCs w:val="24"/>
        </w:rPr>
        <w:t xml:space="preserve"> its existing generators, </w:t>
      </w:r>
    </w:p>
    <w:p w14:paraId="0B1AB0CD" w14:textId="4FF2FD75" w:rsidR="005C0080" w:rsidRPr="005C0080" w:rsidRDefault="005C0080" w:rsidP="00795D6C">
      <w:pPr>
        <w:pStyle w:val="ListParagraph"/>
        <w:numPr>
          <w:ilvl w:val="0"/>
          <w:numId w:val="23"/>
        </w:numPr>
        <w:spacing w:after="0"/>
        <w:rPr>
          <w:color w:val="000000" w:themeColor="text1"/>
          <w:sz w:val="24"/>
          <w:szCs w:val="24"/>
        </w:rPr>
      </w:pPr>
      <w:r w:rsidRPr="005C0080">
        <w:rPr>
          <w:color w:val="000000" w:themeColor="text1"/>
          <w:sz w:val="24"/>
          <w:szCs w:val="24"/>
        </w:rPr>
        <w:t xml:space="preserve">ENO’s </w:t>
      </w:r>
      <w:r w:rsidR="00A97B5D">
        <w:rPr>
          <w:color w:val="000000" w:themeColor="text1"/>
          <w:sz w:val="24"/>
          <w:szCs w:val="24"/>
        </w:rPr>
        <w:t>DSM’s success is too slow</w:t>
      </w:r>
      <w:r w:rsidRPr="005C0080">
        <w:rPr>
          <w:color w:val="000000" w:themeColor="text1"/>
          <w:sz w:val="24"/>
          <w:szCs w:val="24"/>
        </w:rPr>
        <w:t xml:space="preserve"> to </w:t>
      </w:r>
      <w:r w:rsidR="00A97B5D">
        <w:rPr>
          <w:color w:val="000000" w:themeColor="text1"/>
          <w:sz w:val="24"/>
          <w:szCs w:val="24"/>
        </w:rPr>
        <w:t>ever</w:t>
      </w:r>
      <w:r w:rsidRPr="005C0080">
        <w:rPr>
          <w:color w:val="000000" w:themeColor="text1"/>
          <w:sz w:val="24"/>
          <w:szCs w:val="24"/>
        </w:rPr>
        <w:t xml:space="preserve"> clos</w:t>
      </w:r>
      <w:r w:rsidR="00A97B5D">
        <w:rPr>
          <w:color w:val="000000" w:themeColor="text1"/>
          <w:sz w:val="24"/>
          <w:szCs w:val="24"/>
        </w:rPr>
        <w:t>e</w:t>
      </w:r>
      <w:r w:rsidRPr="005C0080">
        <w:rPr>
          <w:color w:val="000000" w:themeColor="text1"/>
          <w:sz w:val="24"/>
          <w:szCs w:val="24"/>
        </w:rPr>
        <w:t xml:space="preserve"> the supply / demand gap, and</w:t>
      </w:r>
    </w:p>
    <w:p w14:paraId="19FD5176" w14:textId="7415ED49" w:rsidR="005C0080" w:rsidRPr="005C0080" w:rsidRDefault="00A97B5D" w:rsidP="00795D6C">
      <w:pPr>
        <w:pStyle w:val="ListParagraph"/>
        <w:numPr>
          <w:ilvl w:val="0"/>
          <w:numId w:val="23"/>
        </w:numPr>
        <w:spacing w:after="0"/>
        <w:rPr>
          <w:color w:val="000000" w:themeColor="text1"/>
          <w:sz w:val="24"/>
          <w:szCs w:val="24"/>
        </w:rPr>
      </w:pPr>
      <w:r>
        <w:rPr>
          <w:color w:val="000000" w:themeColor="text1"/>
          <w:sz w:val="24"/>
          <w:szCs w:val="24"/>
        </w:rPr>
        <w:t>The best plan is</w:t>
      </w:r>
      <w:r w:rsidR="005C0080" w:rsidRPr="005C0080">
        <w:rPr>
          <w:color w:val="000000" w:themeColor="text1"/>
          <w:sz w:val="24"/>
          <w:szCs w:val="24"/>
        </w:rPr>
        <w:t xml:space="preserve"> build a 300 MW combustion turbine [CT] because this option minimizes risk.</w:t>
      </w:r>
    </w:p>
    <w:p w14:paraId="262ADD0F" w14:textId="77777777" w:rsidR="005C0080" w:rsidRPr="005C0080" w:rsidRDefault="005C0080" w:rsidP="005C0080">
      <w:pPr>
        <w:pStyle w:val="ListParagraph"/>
        <w:spacing w:after="0"/>
        <w:ind w:left="0"/>
        <w:rPr>
          <w:color w:val="000000" w:themeColor="text1"/>
          <w:sz w:val="24"/>
          <w:szCs w:val="24"/>
        </w:rPr>
      </w:pPr>
    </w:p>
    <w:p w14:paraId="556F3CF9" w14:textId="77777777" w:rsidR="005C0080" w:rsidRPr="005C0080" w:rsidRDefault="005C0080" w:rsidP="005C0080">
      <w:pPr>
        <w:pStyle w:val="ListParagraph"/>
        <w:spacing w:after="120"/>
        <w:ind w:left="0"/>
        <w:contextualSpacing w:val="0"/>
        <w:jc w:val="center"/>
        <w:rPr>
          <w:color w:val="000000" w:themeColor="text1"/>
          <w:sz w:val="24"/>
          <w:szCs w:val="24"/>
        </w:rPr>
      </w:pPr>
      <w:r w:rsidRPr="005C0080">
        <w:rPr>
          <w:color w:val="000000" w:themeColor="text1"/>
          <w:sz w:val="24"/>
          <w:szCs w:val="24"/>
        </w:rPr>
        <w:t>BSI’s Response</w:t>
      </w:r>
    </w:p>
    <w:p w14:paraId="278302F6" w14:textId="7C90EEE1" w:rsidR="005C0080" w:rsidRPr="005C0080" w:rsidRDefault="005C0080" w:rsidP="00795D6C">
      <w:pPr>
        <w:pStyle w:val="ListParagraph"/>
        <w:numPr>
          <w:ilvl w:val="0"/>
          <w:numId w:val="7"/>
        </w:numPr>
        <w:spacing w:after="0"/>
        <w:rPr>
          <w:color w:val="000000" w:themeColor="text1"/>
          <w:sz w:val="24"/>
          <w:szCs w:val="24"/>
        </w:rPr>
      </w:pPr>
      <w:r w:rsidRPr="005C0080">
        <w:rPr>
          <w:color w:val="000000" w:themeColor="text1"/>
          <w:sz w:val="24"/>
          <w:szCs w:val="24"/>
        </w:rPr>
        <w:t>BSI agrees with ENO’s first assertion b</w:t>
      </w:r>
      <w:r w:rsidR="00A97B5D">
        <w:rPr>
          <w:color w:val="000000" w:themeColor="text1"/>
          <w:sz w:val="24"/>
          <w:szCs w:val="24"/>
        </w:rPr>
        <w:t>ut challenges what ENO assumes i</w:t>
      </w:r>
      <w:r w:rsidRPr="005C0080">
        <w:rPr>
          <w:color w:val="000000" w:themeColor="text1"/>
          <w:sz w:val="24"/>
          <w:szCs w:val="24"/>
        </w:rPr>
        <w:t xml:space="preserve">s a done deal: that ENO will </w:t>
      </w:r>
      <w:r w:rsidR="00A97B5D">
        <w:rPr>
          <w:color w:val="000000" w:themeColor="text1"/>
          <w:sz w:val="24"/>
          <w:szCs w:val="24"/>
        </w:rPr>
        <w:t xml:space="preserve">soon </w:t>
      </w:r>
      <w:r w:rsidRPr="005C0080">
        <w:rPr>
          <w:color w:val="000000" w:themeColor="text1"/>
          <w:sz w:val="24"/>
          <w:szCs w:val="24"/>
        </w:rPr>
        <w:t>shut down all of the Michoud power station.  As noted above, Michoud should not be closed unless ENO can prove that this loss of generation will not adve</w:t>
      </w:r>
      <w:r w:rsidR="009C5E20">
        <w:rPr>
          <w:color w:val="000000" w:themeColor="text1"/>
          <w:sz w:val="24"/>
          <w:szCs w:val="24"/>
        </w:rPr>
        <w:t xml:space="preserve">rsely affect ENO’s membership </w:t>
      </w:r>
      <w:r w:rsidRPr="005C0080">
        <w:rPr>
          <w:color w:val="000000" w:themeColor="text1"/>
          <w:sz w:val="24"/>
          <w:szCs w:val="24"/>
        </w:rPr>
        <w:t>in MISO.</w:t>
      </w:r>
    </w:p>
    <w:p w14:paraId="68155D6C" w14:textId="77777777" w:rsidR="005C0080" w:rsidRPr="005C0080" w:rsidRDefault="005C0080" w:rsidP="00795D6C">
      <w:pPr>
        <w:pStyle w:val="ListParagraph"/>
        <w:numPr>
          <w:ilvl w:val="0"/>
          <w:numId w:val="7"/>
        </w:numPr>
        <w:spacing w:after="0"/>
        <w:rPr>
          <w:color w:val="000000" w:themeColor="text1"/>
          <w:sz w:val="24"/>
          <w:szCs w:val="24"/>
        </w:rPr>
      </w:pPr>
      <w:r w:rsidRPr="005C0080">
        <w:rPr>
          <w:color w:val="000000" w:themeColor="text1"/>
          <w:sz w:val="24"/>
          <w:szCs w:val="24"/>
        </w:rPr>
        <w:t xml:space="preserve">BSI challenges the nuanced implication which ENO has associated to its second assumption that </w:t>
      </w:r>
      <w:r w:rsidRPr="005C0080">
        <w:rPr>
          <w:i/>
          <w:color w:val="000000" w:themeColor="text1"/>
          <w:sz w:val="24"/>
          <w:szCs w:val="24"/>
        </w:rPr>
        <w:t>DSM cannot close the gap in a few years</w:t>
      </w:r>
      <w:r w:rsidRPr="005C0080">
        <w:rPr>
          <w:color w:val="000000" w:themeColor="text1"/>
          <w:sz w:val="24"/>
          <w:szCs w:val="24"/>
        </w:rPr>
        <w:t xml:space="preserve">.  </w:t>
      </w:r>
    </w:p>
    <w:p w14:paraId="16ADF212" w14:textId="77777777" w:rsidR="005C0080" w:rsidRDefault="005C0080" w:rsidP="00795D6C">
      <w:pPr>
        <w:pStyle w:val="ListParagraph"/>
        <w:numPr>
          <w:ilvl w:val="0"/>
          <w:numId w:val="7"/>
        </w:numPr>
        <w:spacing w:after="0"/>
        <w:rPr>
          <w:color w:val="000000" w:themeColor="text1"/>
          <w:sz w:val="24"/>
          <w:szCs w:val="24"/>
        </w:rPr>
      </w:pPr>
      <w:r w:rsidRPr="005C0080">
        <w:rPr>
          <w:color w:val="000000" w:themeColor="text1"/>
          <w:sz w:val="24"/>
          <w:szCs w:val="24"/>
        </w:rPr>
        <w:t>Even if the supply / demand gap cannot be closed soon enough with various forms of DSM, BSI submits that ENO presented no credible evidence that the best option is building a 300 MW CT.</w:t>
      </w:r>
    </w:p>
    <w:p w14:paraId="3145100D" w14:textId="77777777" w:rsidR="00A97B5D" w:rsidRPr="005C0080" w:rsidRDefault="00A97B5D" w:rsidP="00A97B5D">
      <w:pPr>
        <w:pStyle w:val="ListParagraph"/>
        <w:spacing w:after="0"/>
        <w:ind w:left="360"/>
        <w:rPr>
          <w:color w:val="000000" w:themeColor="text1"/>
          <w:sz w:val="24"/>
          <w:szCs w:val="24"/>
        </w:rPr>
      </w:pPr>
    </w:p>
    <w:p w14:paraId="5FCC0768" w14:textId="77777777" w:rsidR="00A97B5D" w:rsidRPr="005C0080" w:rsidRDefault="00A97B5D" w:rsidP="00A97B5D">
      <w:pPr>
        <w:pStyle w:val="ListParagraph"/>
        <w:spacing w:after="0"/>
        <w:ind w:left="360"/>
        <w:rPr>
          <w:b/>
          <w:color w:val="000000" w:themeColor="text1"/>
          <w:sz w:val="24"/>
          <w:szCs w:val="24"/>
        </w:rPr>
      </w:pPr>
      <w:r w:rsidRPr="005C0080">
        <w:rPr>
          <w:b/>
          <w:color w:val="000000" w:themeColor="text1"/>
          <w:sz w:val="24"/>
          <w:szCs w:val="24"/>
        </w:rPr>
        <w:lastRenderedPageBreak/>
        <w:t>BSI recommends revisions in rate structure in order to stimulate DSM which will</w:t>
      </w:r>
      <w:r>
        <w:rPr>
          <w:b/>
          <w:color w:val="000000" w:themeColor="text1"/>
          <w:sz w:val="24"/>
          <w:szCs w:val="24"/>
        </w:rPr>
        <w:t xml:space="preserve"> work together, help finance each other and</w:t>
      </w:r>
      <w:r w:rsidRPr="005C0080">
        <w:rPr>
          <w:b/>
          <w:color w:val="000000" w:themeColor="text1"/>
          <w:sz w:val="24"/>
          <w:szCs w:val="24"/>
        </w:rPr>
        <w:t xml:space="preserve"> close the supply/demand gap within a few years.</w:t>
      </w:r>
    </w:p>
    <w:p w14:paraId="2A2C5D5B" w14:textId="77777777" w:rsidR="005C0080" w:rsidRPr="005C0080" w:rsidRDefault="005C0080" w:rsidP="005C0080">
      <w:pPr>
        <w:pStyle w:val="ListParagraph"/>
        <w:spacing w:after="0"/>
        <w:ind w:left="0"/>
        <w:rPr>
          <w:color w:val="000000" w:themeColor="text1"/>
          <w:sz w:val="24"/>
          <w:szCs w:val="24"/>
        </w:rPr>
      </w:pPr>
    </w:p>
    <w:p w14:paraId="0306241C" w14:textId="73333C1F" w:rsidR="005C0080" w:rsidRPr="005C0080" w:rsidRDefault="005C0080" w:rsidP="005C0080">
      <w:pPr>
        <w:pStyle w:val="ListParagraph"/>
        <w:spacing w:after="0"/>
        <w:ind w:left="0"/>
        <w:rPr>
          <w:color w:val="000000" w:themeColor="text1"/>
          <w:sz w:val="24"/>
          <w:szCs w:val="24"/>
        </w:rPr>
      </w:pPr>
      <w:r w:rsidRPr="005C0080">
        <w:rPr>
          <w:color w:val="000000" w:themeColor="text1"/>
          <w:sz w:val="24"/>
          <w:szCs w:val="24"/>
        </w:rPr>
        <w:t>BSI submits that ENO’s DSM is performing poorl</w:t>
      </w:r>
      <w:r w:rsidR="00A97B5D">
        <w:rPr>
          <w:color w:val="000000" w:themeColor="text1"/>
          <w:sz w:val="24"/>
          <w:szCs w:val="24"/>
        </w:rPr>
        <w:t>y for more than a dozen reasons</w:t>
      </w:r>
      <w:r w:rsidR="009C5E20">
        <w:rPr>
          <w:color w:val="000000" w:themeColor="text1"/>
          <w:sz w:val="24"/>
          <w:szCs w:val="24"/>
        </w:rPr>
        <w:t xml:space="preserve">.  This is </w:t>
      </w:r>
      <w:r w:rsidRPr="005C0080">
        <w:rPr>
          <w:color w:val="000000" w:themeColor="text1"/>
          <w:sz w:val="24"/>
          <w:szCs w:val="24"/>
        </w:rPr>
        <w:t>in sharp contrast to the success of Tucson Electric Power</w:t>
      </w:r>
      <w:r w:rsidR="00A97B5D">
        <w:rPr>
          <w:color w:val="000000" w:themeColor="text1"/>
          <w:sz w:val="24"/>
          <w:szCs w:val="24"/>
        </w:rPr>
        <w:t>’s</w:t>
      </w:r>
      <w:r w:rsidRPr="005C0080">
        <w:rPr>
          <w:rStyle w:val="EndnoteReference"/>
          <w:color w:val="000000" w:themeColor="text1"/>
          <w:sz w:val="24"/>
          <w:szCs w:val="24"/>
        </w:rPr>
        <w:endnoteReference w:id="6"/>
      </w:r>
      <w:r w:rsidRPr="005C0080">
        <w:rPr>
          <w:color w:val="000000" w:themeColor="text1"/>
          <w:sz w:val="24"/>
          <w:szCs w:val="24"/>
        </w:rPr>
        <w:t xml:space="preserve"> (TEP is about 2.5 times as large as ENO)</w:t>
      </w:r>
      <w:r w:rsidR="00A97B5D">
        <w:rPr>
          <w:color w:val="000000" w:themeColor="text1"/>
          <w:sz w:val="24"/>
          <w:szCs w:val="24"/>
        </w:rPr>
        <w:t xml:space="preserve"> DSM which</w:t>
      </w:r>
      <w:r w:rsidRPr="005C0080">
        <w:rPr>
          <w:color w:val="000000" w:themeColor="text1"/>
          <w:sz w:val="24"/>
          <w:szCs w:val="24"/>
        </w:rPr>
        <w:t xml:space="preserve"> is projected to continue to experience—twenty times as much as ENO’s DSM’s annual success each year for the next six years.  Moreover, TEP’s DSM program </w:t>
      </w:r>
      <w:r w:rsidR="009C5E20">
        <w:rPr>
          <w:color w:val="000000" w:themeColor="text1"/>
          <w:sz w:val="24"/>
          <w:szCs w:val="24"/>
        </w:rPr>
        <w:t>lowers</w:t>
      </w:r>
      <w:r w:rsidRPr="005C0080">
        <w:rPr>
          <w:color w:val="000000" w:themeColor="text1"/>
          <w:sz w:val="24"/>
          <w:szCs w:val="24"/>
        </w:rPr>
        <w:t xml:space="preserve"> peak demand at half of the cost </w:t>
      </w:r>
      <w:r w:rsidR="00A97B5D">
        <w:rPr>
          <w:color w:val="000000" w:themeColor="text1"/>
          <w:sz w:val="24"/>
          <w:szCs w:val="24"/>
        </w:rPr>
        <w:t xml:space="preserve">(in $/W) </w:t>
      </w:r>
      <w:r w:rsidRPr="005C0080">
        <w:rPr>
          <w:color w:val="000000" w:themeColor="text1"/>
          <w:sz w:val="24"/>
          <w:szCs w:val="24"/>
        </w:rPr>
        <w:t>of ENO’s DSM program.</w:t>
      </w:r>
      <w:r w:rsidRPr="005C0080">
        <w:rPr>
          <w:rStyle w:val="EndnoteReference"/>
          <w:color w:val="000000" w:themeColor="text1"/>
          <w:sz w:val="24"/>
          <w:szCs w:val="24"/>
        </w:rPr>
        <w:t xml:space="preserve"> </w:t>
      </w:r>
    </w:p>
    <w:p w14:paraId="1DA3F48E" w14:textId="77777777" w:rsidR="005C0080" w:rsidRPr="005C0080" w:rsidRDefault="005C0080" w:rsidP="005C0080">
      <w:pPr>
        <w:pStyle w:val="ListParagraph"/>
        <w:spacing w:after="0"/>
        <w:ind w:left="0"/>
        <w:rPr>
          <w:color w:val="000000" w:themeColor="text1"/>
          <w:sz w:val="24"/>
          <w:szCs w:val="24"/>
        </w:rPr>
      </w:pPr>
    </w:p>
    <w:p w14:paraId="35E9AFC6" w14:textId="77777777" w:rsidR="005C0080" w:rsidRPr="005C0080" w:rsidRDefault="005C0080" w:rsidP="005C0080">
      <w:pPr>
        <w:pStyle w:val="ListParagraph"/>
        <w:spacing w:after="0"/>
        <w:ind w:left="0"/>
        <w:rPr>
          <w:color w:val="000000" w:themeColor="text1"/>
          <w:sz w:val="24"/>
          <w:szCs w:val="24"/>
        </w:rPr>
      </w:pPr>
      <w:r w:rsidRPr="005C0080">
        <w:rPr>
          <w:color w:val="000000" w:themeColor="text1"/>
          <w:sz w:val="24"/>
          <w:szCs w:val="24"/>
        </w:rPr>
        <w:t xml:space="preserve">BSI also notes that there is an artificial distinction between various ways to use utility funds to “induce” drops in peak demand, a.k.a., DSM.  Traditionally, the term “DSM” has not included any but the first of these ways to reduce demand: </w:t>
      </w:r>
    </w:p>
    <w:p w14:paraId="610914A5" w14:textId="1524E6AD" w:rsidR="005C0080" w:rsidRPr="005C0080" w:rsidRDefault="009C5E20" w:rsidP="00795D6C">
      <w:pPr>
        <w:pStyle w:val="ListParagraph"/>
        <w:numPr>
          <w:ilvl w:val="0"/>
          <w:numId w:val="5"/>
        </w:numPr>
        <w:spacing w:after="0"/>
        <w:rPr>
          <w:color w:val="000000" w:themeColor="text1"/>
          <w:sz w:val="24"/>
          <w:szCs w:val="24"/>
        </w:rPr>
      </w:pPr>
      <w:r>
        <w:rPr>
          <w:color w:val="000000" w:themeColor="text1"/>
          <w:sz w:val="24"/>
          <w:szCs w:val="24"/>
        </w:rPr>
        <w:t>Subsidizing energy-</w:t>
      </w:r>
      <w:r w:rsidR="005C0080" w:rsidRPr="005C0080">
        <w:rPr>
          <w:color w:val="000000" w:themeColor="text1"/>
          <w:sz w:val="24"/>
          <w:szCs w:val="24"/>
        </w:rPr>
        <w:t>efficiency retrofits in buildings,</w:t>
      </w:r>
    </w:p>
    <w:p w14:paraId="3469F65A" w14:textId="77777777" w:rsidR="005C0080" w:rsidRPr="005C0080" w:rsidRDefault="005C0080" w:rsidP="00795D6C">
      <w:pPr>
        <w:pStyle w:val="ListParagraph"/>
        <w:numPr>
          <w:ilvl w:val="0"/>
          <w:numId w:val="5"/>
        </w:numPr>
        <w:spacing w:after="0"/>
        <w:rPr>
          <w:color w:val="000000" w:themeColor="text1"/>
          <w:sz w:val="24"/>
          <w:szCs w:val="24"/>
        </w:rPr>
      </w:pPr>
      <w:r w:rsidRPr="005C0080">
        <w:rPr>
          <w:color w:val="000000" w:themeColor="text1"/>
          <w:sz w:val="24"/>
          <w:szCs w:val="24"/>
        </w:rPr>
        <w:t>Using price signals to temporarily lower demand, (known as demand response (DR))</w:t>
      </w:r>
    </w:p>
    <w:p w14:paraId="601CB090" w14:textId="77777777" w:rsidR="005C0080" w:rsidRPr="005C0080" w:rsidRDefault="005C0080" w:rsidP="00795D6C">
      <w:pPr>
        <w:pStyle w:val="ListParagraph"/>
        <w:numPr>
          <w:ilvl w:val="0"/>
          <w:numId w:val="5"/>
        </w:numPr>
        <w:spacing w:after="0"/>
        <w:rPr>
          <w:color w:val="000000" w:themeColor="text1"/>
          <w:sz w:val="24"/>
          <w:szCs w:val="24"/>
        </w:rPr>
      </w:pPr>
      <w:r w:rsidRPr="005C0080">
        <w:rPr>
          <w:color w:val="000000" w:themeColor="text1"/>
          <w:sz w:val="24"/>
          <w:szCs w:val="24"/>
        </w:rPr>
        <w:t>Subsidizing renewable energy installations, and</w:t>
      </w:r>
    </w:p>
    <w:p w14:paraId="47AE644C" w14:textId="77777777" w:rsidR="005C0080" w:rsidRPr="005C0080" w:rsidRDefault="005C0080" w:rsidP="00795D6C">
      <w:pPr>
        <w:pStyle w:val="ListParagraph"/>
        <w:numPr>
          <w:ilvl w:val="0"/>
          <w:numId w:val="5"/>
        </w:numPr>
        <w:spacing w:after="0"/>
        <w:rPr>
          <w:color w:val="000000" w:themeColor="text1"/>
          <w:sz w:val="24"/>
          <w:szCs w:val="24"/>
        </w:rPr>
      </w:pPr>
      <w:r w:rsidRPr="005C0080">
        <w:rPr>
          <w:color w:val="000000" w:themeColor="text1"/>
          <w:sz w:val="24"/>
          <w:szCs w:val="24"/>
        </w:rPr>
        <w:t>Subsidizing battery installations.</w:t>
      </w:r>
    </w:p>
    <w:p w14:paraId="084A853D" w14:textId="77777777" w:rsidR="005C0080" w:rsidRPr="005C0080" w:rsidRDefault="005C0080" w:rsidP="005C0080">
      <w:pPr>
        <w:pStyle w:val="ListParagraph"/>
        <w:spacing w:after="0"/>
        <w:ind w:left="0"/>
        <w:rPr>
          <w:color w:val="000000" w:themeColor="text1"/>
          <w:sz w:val="24"/>
          <w:szCs w:val="24"/>
        </w:rPr>
      </w:pPr>
      <w:r w:rsidRPr="005C0080">
        <w:rPr>
          <w:color w:val="000000" w:themeColor="text1"/>
          <w:sz w:val="24"/>
          <w:szCs w:val="24"/>
        </w:rPr>
        <w:t>BSI submits that this distinction has been hampering ENO’s DSM program design, grossly slowing down DSM’s success and increasing its costs.</w:t>
      </w:r>
    </w:p>
    <w:p w14:paraId="2DE62F88" w14:textId="77777777" w:rsidR="005C0080" w:rsidRPr="005C0080" w:rsidRDefault="005C0080" w:rsidP="005C0080">
      <w:pPr>
        <w:pStyle w:val="ListParagraph"/>
        <w:spacing w:after="0"/>
        <w:ind w:left="0"/>
        <w:rPr>
          <w:color w:val="000000" w:themeColor="text1"/>
          <w:sz w:val="24"/>
          <w:szCs w:val="24"/>
        </w:rPr>
      </w:pPr>
    </w:p>
    <w:p w14:paraId="72BA3AFC" w14:textId="77777777" w:rsidR="005C0080" w:rsidRPr="005C0080" w:rsidRDefault="005C0080" w:rsidP="005C0080">
      <w:pPr>
        <w:pStyle w:val="ListParagraph"/>
        <w:spacing w:after="0"/>
        <w:ind w:left="0"/>
        <w:rPr>
          <w:color w:val="000000" w:themeColor="text1"/>
          <w:sz w:val="24"/>
          <w:szCs w:val="24"/>
        </w:rPr>
      </w:pPr>
      <w:r w:rsidRPr="005C0080">
        <w:rPr>
          <w:color w:val="000000" w:themeColor="text1"/>
          <w:sz w:val="24"/>
          <w:szCs w:val="24"/>
        </w:rPr>
        <w:t>Therefore, BSI recommends that the Council should:</w:t>
      </w:r>
    </w:p>
    <w:p w14:paraId="6D75D9CB" w14:textId="77777777" w:rsidR="005C0080" w:rsidRPr="005C0080" w:rsidRDefault="005C0080" w:rsidP="005C0080">
      <w:pPr>
        <w:pStyle w:val="ListParagraph"/>
        <w:spacing w:after="0"/>
        <w:ind w:left="0"/>
        <w:jc w:val="center"/>
        <w:rPr>
          <w:color w:val="000000" w:themeColor="text1"/>
          <w:sz w:val="24"/>
          <w:szCs w:val="24"/>
        </w:rPr>
      </w:pPr>
    </w:p>
    <w:p w14:paraId="5D313183" w14:textId="77777777" w:rsidR="005C0080" w:rsidRPr="005C0080" w:rsidRDefault="005C0080" w:rsidP="00795D6C">
      <w:pPr>
        <w:pStyle w:val="ListParagraph"/>
        <w:numPr>
          <w:ilvl w:val="0"/>
          <w:numId w:val="27"/>
        </w:numPr>
        <w:spacing w:after="0"/>
        <w:rPr>
          <w:color w:val="000000" w:themeColor="text1"/>
          <w:sz w:val="24"/>
          <w:szCs w:val="24"/>
        </w:rPr>
      </w:pPr>
      <w:r w:rsidRPr="005C0080">
        <w:rPr>
          <w:color w:val="000000" w:themeColor="text1"/>
          <w:sz w:val="24"/>
          <w:szCs w:val="24"/>
        </w:rPr>
        <w:t xml:space="preserve">Not pick the winner, or allocate or segregate resources among these four ways to reduce peak demand, but instead should create a </w:t>
      </w:r>
      <w:r w:rsidRPr="005C0080">
        <w:rPr>
          <w:i/>
          <w:color w:val="000000" w:themeColor="text1"/>
          <w:sz w:val="24"/>
          <w:szCs w:val="24"/>
        </w:rPr>
        <w:t>carrot and stick</w:t>
      </w:r>
      <w:r w:rsidRPr="005C0080">
        <w:rPr>
          <w:color w:val="000000" w:themeColor="text1"/>
          <w:sz w:val="24"/>
          <w:szCs w:val="24"/>
        </w:rPr>
        <w:t xml:space="preserve"> approach that applies graduated charge increases and rebates to engage and transform the marketplace.</w:t>
      </w:r>
    </w:p>
    <w:p w14:paraId="434556AA" w14:textId="77777777" w:rsidR="005C0080" w:rsidRPr="005C0080" w:rsidRDefault="005C0080" w:rsidP="005C0080">
      <w:pPr>
        <w:pStyle w:val="ListParagraph"/>
        <w:spacing w:after="0"/>
        <w:ind w:left="0"/>
        <w:rPr>
          <w:color w:val="000000" w:themeColor="text1"/>
          <w:sz w:val="24"/>
          <w:szCs w:val="24"/>
        </w:rPr>
      </w:pPr>
    </w:p>
    <w:p w14:paraId="561A9D0F" w14:textId="77777777" w:rsidR="005C0080" w:rsidRPr="005C0080" w:rsidRDefault="005C0080" w:rsidP="00795D6C">
      <w:pPr>
        <w:pStyle w:val="ListParagraph"/>
        <w:numPr>
          <w:ilvl w:val="0"/>
          <w:numId w:val="27"/>
        </w:numPr>
        <w:spacing w:after="0"/>
        <w:rPr>
          <w:color w:val="000000" w:themeColor="text1"/>
          <w:sz w:val="24"/>
          <w:szCs w:val="24"/>
        </w:rPr>
      </w:pPr>
      <w:r w:rsidRPr="005C0080">
        <w:rPr>
          <w:color w:val="000000" w:themeColor="text1"/>
          <w:sz w:val="24"/>
          <w:szCs w:val="24"/>
        </w:rPr>
        <w:t>Replace decreasing block rates with increasing block rates for residential customers and increases in the peak demand charges for other customers, as well as a menu of targeted, performance-based rebates.  The cost of the rebate program need not exceed 5% of what ENO projected to spend for the proposed solar option.  This will empower the marketplace to close the gap.  BSI submits that the marketplace will do it faster and cheaper than ENO’s proposal.</w:t>
      </w:r>
    </w:p>
    <w:p w14:paraId="56083877" w14:textId="77777777" w:rsidR="005C0080" w:rsidRPr="005C0080" w:rsidRDefault="005C0080" w:rsidP="005C0080">
      <w:pPr>
        <w:pStyle w:val="ListParagraph"/>
        <w:spacing w:after="0"/>
        <w:ind w:left="0"/>
        <w:rPr>
          <w:color w:val="000000" w:themeColor="text1"/>
          <w:sz w:val="24"/>
          <w:szCs w:val="24"/>
        </w:rPr>
      </w:pPr>
    </w:p>
    <w:p w14:paraId="146B1C47" w14:textId="77777777" w:rsidR="005C0080" w:rsidRPr="005C0080" w:rsidRDefault="005C0080" w:rsidP="00795D6C">
      <w:pPr>
        <w:pStyle w:val="ListParagraph"/>
        <w:numPr>
          <w:ilvl w:val="0"/>
          <w:numId w:val="27"/>
        </w:numPr>
        <w:spacing w:after="0"/>
        <w:rPr>
          <w:color w:val="000000" w:themeColor="text1"/>
          <w:sz w:val="24"/>
          <w:szCs w:val="24"/>
        </w:rPr>
      </w:pPr>
      <w:r w:rsidRPr="005C0080">
        <w:rPr>
          <w:color w:val="000000" w:themeColor="text1"/>
          <w:sz w:val="24"/>
          <w:szCs w:val="24"/>
        </w:rPr>
        <w:t xml:space="preserve">Use the extra income from these rate increases to first completely fund the rebates and then lower the cost of energy for consumers whose consumption is limited to the first block within the rates.  </w:t>
      </w:r>
    </w:p>
    <w:p w14:paraId="6C288A9C" w14:textId="77777777" w:rsidR="005C0080" w:rsidRPr="005C0080" w:rsidRDefault="005C0080" w:rsidP="005C0080">
      <w:pPr>
        <w:pStyle w:val="ListParagraph"/>
        <w:spacing w:after="0"/>
        <w:ind w:left="0"/>
        <w:rPr>
          <w:color w:val="000000" w:themeColor="text1"/>
          <w:sz w:val="24"/>
          <w:szCs w:val="24"/>
        </w:rPr>
      </w:pPr>
    </w:p>
    <w:p w14:paraId="6A5A7310" w14:textId="77777777" w:rsidR="005C0080" w:rsidRPr="005C0080" w:rsidRDefault="005C0080" w:rsidP="005C0080">
      <w:pPr>
        <w:pStyle w:val="ListParagraph"/>
        <w:spacing w:after="0"/>
        <w:ind w:left="0"/>
        <w:rPr>
          <w:color w:val="000000" w:themeColor="text1"/>
          <w:sz w:val="24"/>
          <w:szCs w:val="24"/>
        </w:rPr>
      </w:pPr>
      <w:r w:rsidRPr="005C0080">
        <w:rPr>
          <w:color w:val="000000" w:themeColor="text1"/>
          <w:sz w:val="24"/>
          <w:szCs w:val="24"/>
        </w:rPr>
        <w:t xml:space="preserve">The details of these recommendations are presented in summary form in the next section and in an elaboration of recommendations section at the end of the document.  </w:t>
      </w:r>
    </w:p>
    <w:p w14:paraId="2AFD1856" w14:textId="77777777" w:rsidR="005C0080" w:rsidRPr="005C0080" w:rsidRDefault="005C0080" w:rsidP="005C0080">
      <w:pPr>
        <w:pStyle w:val="ListParagraph"/>
        <w:spacing w:after="0"/>
        <w:ind w:left="0"/>
        <w:rPr>
          <w:color w:val="000000" w:themeColor="text1"/>
          <w:sz w:val="24"/>
          <w:szCs w:val="24"/>
        </w:rPr>
      </w:pPr>
    </w:p>
    <w:p w14:paraId="4A9B67D2" w14:textId="77777777" w:rsidR="005C0080" w:rsidRPr="005C0080" w:rsidRDefault="005C0080" w:rsidP="005C0080">
      <w:pPr>
        <w:pStyle w:val="ListParagraph"/>
        <w:spacing w:after="0"/>
        <w:ind w:left="0"/>
        <w:rPr>
          <w:b/>
          <w:color w:val="000000" w:themeColor="text1"/>
          <w:sz w:val="24"/>
          <w:szCs w:val="24"/>
        </w:rPr>
      </w:pPr>
      <w:r w:rsidRPr="005C0080">
        <w:rPr>
          <w:b/>
          <w:color w:val="000000" w:themeColor="text1"/>
          <w:sz w:val="24"/>
          <w:szCs w:val="24"/>
        </w:rPr>
        <w:lastRenderedPageBreak/>
        <w:t xml:space="preserve">Recommendations to improve the IRP process. </w:t>
      </w:r>
    </w:p>
    <w:p w14:paraId="46EAAF31" w14:textId="77777777" w:rsidR="005C0080" w:rsidRPr="005C0080" w:rsidRDefault="005C0080" w:rsidP="005C0080">
      <w:pPr>
        <w:pStyle w:val="ListParagraph"/>
        <w:spacing w:after="0"/>
        <w:ind w:left="0"/>
        <w:rPr>
          <w:color w:val="000000" w:themeColor="text1"/>
          <w:sz w:val="24"/>
          <w:szCs w:val="24"/>
        </w:rPr>
      </w:pPr>
    </w:p>
    <w:p w14:paraId="344FC4B7" w14:textId="77777777" w:rsidR="005C0080" w:rsidRPr="005C0080" w:rsidRDefault="005C0080" w:rsidP="005C0080">
      <w:pPr>
        <w:pStyle w:val="ListParagraph"/>
        <w:spacing w:after="0"/>
        <w:ind w:left="0"/>
        <w:rPr>
          <w:color w:val="000000" w:themeColor="text1"/>
          <w:sz w:val="24"/>
          <w:szCs w:val="24"/>
        </w:rPr>
      </w:pPr>
      <w:r w:rsidRPr="005C0080">
        <w:rPr>
          <w:color w:val="000000" w:themeColor="text1"/>
          <w:sz w:val="24"/>
          <w:szCs w:val="24"/>
        </w:rPr>
        <w:t>BSI’s recommendations are not limited to how to close the demand/supply gap. The following recommendations are also given to improve the IRP process. The order of these recommendations reflects BSI’s opinion about their importance.</w:t>
      </w:r>
    </w:p>
    <w:p w14:paraId="733A791E" w14:textId="77777777" w:rsidR="005C0080" w:rsidRPr="005C0080" w:rsidRDefault="005C0080" w:rsidP="005C0080">
      <w:pPr>
        <w:pStyle w:val="ListParagraph"/>
        <w:spacing w:after="0"/>
        <w:ind w:left="0"/>
        <w:jc w:val="center"/>
        <w:rPr>
          <w:color w:val="000000" w:themeColor="text1"/>
          <w:sz w:val="24"/>
          <w:szCs w:val="24"/>
        </w:rPr>
      </w:pPr>
    </w:p>
    <w:p w14:paraId="25456F88" w14:textId="77777777" w:rsidR="005C0080" w:rsidRPr="005C0080" w:rsidRDefault="005C0080" w:rsidP="00795D6C">
      <w:pPr>
        <w:pStyle w:val="ListParagraph"/>
        <w:numPr>
          <w:ilvl w:val="0"/>
          <w:numId w:val="39"/>
        </w:numPr>
        <w:rPr>
          <w:color w:val="000000" w:themeColor="text1"/>
          <w:sz w:val="24"/>
          <w:szCs w:val="24"/>
        </w:rPr>
      </w:pPr>
      <w:r w:rsidRPr="005C0080">
        <w:rPr>
          <w:color w:val="000000" w:themeColor="text1"/>
          <w:sz w:val="24"/>
          <w:szCs w:val="24"/>
        </w:rPr>
        <w:t>Compensate intervenors when their contribution to a regulatory decision saves money.</w:t>
      </w:r>
    </w:p>
    <w:p w14:paraId="73D48327" w14:textId="77777777" w:rsidR="005C0080" w:rsidRPr="005C0080" w:rsidRDefault="005C0080" w:rsidP="00795D6C">
      <w:pPr>
        <w:pStyle w:val="ListParagraph"/>
        <w:numPr>
          <w:ilvl w:val="0"/>
          <w:numId w:val="39"/>
        </w:numPr>
        <w:spacing w:after="0"/>
        <w:rPr>
          <w:color w:val="000000" w:themeColor="text1"/>
          <w:sz w:val="24"/>
          <w:szCs w:val="24"/>
        </w:rPr>
      </w:pPr>
      <w:r w:rsidRPr="005C0080">
        <w:rPr>
          <w:color w:val="000000" w:themeColor="text1"/>
          <w:sz w:val="24"/>
          <w:szCs w:val="24"/>
        </w:rPr>
        <w:t xml:space="preserve">Mandate that the IRP process has complete transparency.  </w:t>
      </w:r>
    </w:p>
    <w:p w14:paraId="3AB86BB3" w14:textId="77777777" w:rsidR="005C0080" w:rsidRPr="005C0080" w:rsidRDefault="005C0080" w:rsidP="00795D6C">
      <w:pPr>
        <w:pStyle w:val="ListParagraph"/>
        <w:numPr>
          <w:ilvl w:val="0"/>
          <w:numId w:val="39"/>
        </w:numPr>
        <w:spacing w:after="0"/>
        <w:rPr>
          <w:color w:val="000000" w:themeColor="text1"/>
          <w:sz w:val="24"/>
          <w:szCs w:val="24"/>
        </w:rPr>
      </w:pPr>
      <w:r w:rsidRPr="005C0080">
        <w:rPr>
          <w:color w:val="000000" w:themeColor="text1"/>
          <w:sz w:val="24"/>
          <w:szCs w:val="24"/>
        </w:rPr>
        <w:t xml:space="preserve">Mandate that the IRP is dynamically responsive to changes in fact.  </w:t>
      </w:r>
    </w:p>
    <w:p w14:paraId="500887AB" w14:textId="77777777" w:rsidR="005C0080" w:rsidRPr="005C0080" w:rsidRDefault="005C0080" w:rsidP="00795D6C">
      <w:pPr>
        <w:pStyle w:val="ListParagraph"/>
        <w:numPr>
          <w:ilvl w:val="0"/>
          <w:numId w:val="39"/>
        </w:numPr>
        <w:spacing w:after="0"/>
        <w:rPr>
          <w:color w:val="000000" w:themeColor="text1"/>
          <w:sz w:val="24"/>
          <w:szCs w:val="24"/>
        </w:rPr>
      </w:pPr>
      <w:r w:rsidRPr="005C0080">
        <w:rPr>
          <w:color w:val="000000" w:themeColor="text1"/>
          <w:sz w:val="24"/>
          <w:szCs w:val="24"/>
        </w:rPr>
        <w:t>Mandate that the IRP conforms to industry standards in IRP quality including, but not limited to risk analysis.</w:t>
      </w:r>
    </w:p>
    <w:p w14:paraId="72499C8F" w14:textId="77777777" w:rsidR="005C0080" w:rsidRPr="005C0080" w:rsidRDefault="005C0080" w:rsidP="00795D6C">
      <w:pPr>
        <w:pStyle w:val="ListParagraph"/>
        <w:numPr>
          <w:ilvl w:val="0"/>
          <w:numId w:val="39"/>
        </w:numPr>
        <w:spacing w:after="0"/>
        <w:rPr>
          <w:color w:val="000000" w:themeColor="text1"/>
          <w:sz w:val="24"/>
          <w:szCs w:val="24"/>
        </w:rPr>
      </w:pPr>
      <w:r w:rsidRPr="005C0080">
        <w:rPr>
          <w:color w:val="000000" w:themeColor="text1"/>
          <w:sz w:val="24"/>
          <w:szCs w:val="24"/>
        </w:rPr>
        <w:t>Mandate that an independent third party produces the analysis, run the meetings, and collect and publishes information.</w:t>
      </w:r>
    </w:p>
    <w:p w14:paraId="0D081A4E" w14:textId="77777777" w:rsidR="005C0080" w:rsidRPr="005C0080" w:rsidRDefault="005C0080" w:rsidP="00795D6C">
      <w:pPr>
        <w:pStyle w:val="ListParagraph"/>
        <w:numPr>
          <w:ilvl w:val="0"/>
          <w:numId w:val="39"/>
        </w:numPr>
        <w:spacing w:after="0"/>
        <w:rPr>
          <w:color w:val="000000" w:themeColor="text1"/>
          <w:sz w:val="24"/>
          <w:szCs w:val="24"/>
        </w:rPr>
      </w:pPr>
      <w:r w:rsidRPr="005C0080">
        <w:rPr>
          <w:color w:val="000000" w:themeColor="text1"/>
          <w:sz w:val="24"/>
          <w:szCs w:val="24"/>
        </w:rPr>
        <w:t>Provide for a minimum test for passing or failing the IRP process.</w:t>
      </w:r>
    </w:p>
    <w:p w14:paraId="0AE5DBA9" w14:textId="77777777" w:rsidR="005C0080" w:rsidRPr="005C0080" w:rsidRDefault="005C0080" w:rsidP="005C0080">
      <w:pPr>
        <w:spacing w:after="0"/>
        <w:rPr>
          <w:color w:val="000000" w:themeColor="text1"/>
          <w:sz w:val="24"/>
          <w:szCs w:val="24"/>
        </w:rPr>
      </w:pPr>
      <w:r w:rsidRPr="005C0080">
        <w:rPr>
          <w:color w:val="000000" w:themeColor="text1"/>
          <w:sz w:val="24"/>
          <w:szCs w:val="24"/>
        </w:rPr>
        <w:t xml:space="preserve">BSI also notes that similar tests should be instituted for other regulatory processes like the design of the DSM program and ENO’s rate design.  </w:t>
      </w:r>
    </w:p>
    <w:p w14:paraId="2F289426" w14:textId="77777777" w:rsidR="005C0080" w:rsidRPr="005C0080" w:rsidRDefault="005C0080" w:rsidP="005C0080">
      <w:pPr>
        <w:pStyle w:val="ListParagraph"/>
        <w:spacing w:after="0"/>
        <w:rPr>
          <w:color w:val="000000" w:themeColor="text1"/>
          <w:sz w:val="24"/>
          <w:szCs w:val="24"/>
        </w:rPr>
      </w:pPr>
    </w:p>
    <w:p w14:paraId="42C840A9" w14:textId="77777777" w:rsidR="005C0080" w:rsidRDefault="005C0080" w:rsidP="005C0080">
      <w:pPr>
        <w:pStyle w:val="ListParagraph"/>
        <w:spacing w:after="120"/>
        <w:ind w:left="0"/>
        <w:contextualSpacing w:val="0"/>
        <w:rPr>
          <w:b/>
          <w:color w:val="000000" w:themeColor="text1"/>
          <w:sz w:val="24"/>
          <w:szCs w:val="24"/>
        </w:rPr>
      </w:pPr>
      <w:r w:rsidRPr="005C0080">
        <w:rPr>
          <w:b/>
          <w:color w:val="000000" w:themeColor="text1"/>
          <w:sz w:val="24"/>
          <w:szCs w:val="24"/>
        </w:rPr>
        <w:t xml:space="preserve">BSI Supports Decoupling by which ENO can earn a profit without investing in new power plants.  </w:t>
      </w:r>
    </w:p>
    <w:p w14:paraId="51305968" w14:textId="77777777" w:rsidR="009C5E20" w:rsidRPr="005C0080" w:rsidRDefault="009C5E20" w:rsidP="005C0080">
      <w:pPr>
        <w:pStyle w:val="ListParagraph"/>
        <w:spacing w:after="120"/>
        <w:ind w:left="0"/>
        <w:contextualSpacing w:val="0"/>
        <w:rPr>
          <w:b/>
          <w:color w:val="000000" w:themeColor="text1"/>
          <w:sz w:val="24"/>
          <w:szCs w:val="24"/>
        </w:rPr>
      </w:pPr>
    </w:p>
    <w:p w14:paraId="63DF2B77" w14:textId="77777777" w:rsidR="009C5E20" w:rsidRDefault="005C0080" w:rsidP="005C0080">
      <w:pPr>
        <w:pStyle w:val="ListParagraph"/>
        <w:spacing w:after="0"/>
        <w:ind w:left="0"/>
        <w:rPr>
          <w:color w:val="000000" w:themeColor="text1"/>
          <w:sz w:val="24"/>
          <w:szCs w:val="24"/>
        </w:rPr>
      </w:pPr>
      <w:r w:rsidRPr="005C0080">
        <w:rPr>
          <w:color w:val="000000" w:themeColor="text1"/>
          <w:sz w:val="24"/>
          <w:szCs w:val="24"/>
        </w:rPr>
        <w:t xml:space="preserve">ENO has an economic incentive to bias its IRP towards investing in new generation plants. The contract between ENO, ENO’s ratepayers and the City of New Orleans is conventional and provides two stipulations: i) all cost of electricity is passed through to the customer with no profit, except that ii) the IOU is allowed to make a “fair” profit on capital improvements.  There is currently a docket where ENO, the Council and intervenors are working on “Decoupling”, i.e., finding an agreed upon alternative mechanism where the utility can make increasing profits without adding new capital investments.  Although BSI is not an intervenor in that docket, BSI supports that process.  BSI wants ENO to earn more profit without adding new generating equipment.  </w:t>
      </w:r>
    </w:p>
    <w:p w14:paraId="461B2F38" w14:textId="77777777" w:rsidR="009C5E20" w:rsidRDefault="009C5E20" w:rsidP="005C0080">
      <w:pPr>
        <w:pStyle w:val="ListParagraph"/>
        <w:spacing w:after="0"/>
        <w:ind w:left="0"/>
        <w:rPr>
          <w:color w:val="000000" w:themeColor="text1"/>
          <w:sz w:val="24"/>
          <w:szCs w:val="24"/>
        </w:rPr>
      </w:pPr>
    </w:p>
    <w:p w14:paraId="1765587B" w14:textId="03935471" w:rsidR="005C0080" w:rsidRPr="005C0080" w:rsidRDefault="005C0080" w:rsidP="005C0080">
      <w:pPr>
        <w:pStyle w:val="ListParagraph"/>
        <w:spacing w:after="0"/>
        <w:ind w:left="0"/>
        <w:rPr>
          <w:color w:val="000000" w:themeColor="text1"/>
          <w:sz w:val="24"/>
          <w:szCs w:val="24"/>
        </w:rPr>
      </w:pPr>
      <w:r w:rsidRPr="005C0080">
        <w:rPr>
          <w:color w:val="000000" w:themeColor="text1"/>
          <w:sz w:val="24"/>
          <w:szCs w:val="24"/>
        </w:rPr>
        <w:t xml:space="preserve">Accordingly, BSI recommends: </w:t>
      </w:r>
    </w:p>
    <w:p w14:paraId="26002C4B" w14:textId="77777777" w:rsidR="005C0080" w:rsidRPr="005C0080" w:rsidRDefault="005C0080" w:rsidP="00795D6C">
      <w:pPr>
        <w:pStyle w:val="ListParagraph"/>
        <w:numPr>
          <w:ilvl w:val="0"/>
          <w:numId w:val="6"/>
        </w:numPr>
        <w:spacing w:after="0"/>
        <w:rPr>
          <w:color w:val="000000" w:themeColor="text1"/>
          <w:sz w:val="24"/>
          <w:szCs w:val="24"/>
        </w:rPr>
      </w:pPr>
      <w:r w:rsidRPr="005C0080">
        <w:rPr>
          <w:color w:val="000000" w:themeColor="text1"/>
          <w:sz w:val="24"/>
          <w:szCs w:val="24"/>
        </w:rPr>
        <w:t xml:space="preserve">ENO should not be allowed to own new generating plants; instead </w:t>
      </w:r>
    </w:p>
    <w:p w14:paraId="7355B4FC" w14:textId="21DB118A" w:rsidR="005C0080" w:rsidRPr="00CE00DF" w:rsidRDefault="005C0080" w:rsidP="00795D6C">
      <w:pPr>
        <w:pStyle w:val="ListParagraph"/>
        <w:numPr>
          <w:ilvl w:val="0"/>
          <w:numId w:val="6"/>
        </w:numPr>
        <w:spacing w:after="0"/>
        <w:rPr>
          <w:color w:val="000000" w:themeColor="text1"/>
          <w:sz w:val="24"/>
          <w:szCs w:val="24"/>
        </w:rPr>
      </w:pPr>
      <w:r w:rsidRPr="005C0080">
        <w:rPr>
          <w:color w:val="000000" w:themeColor="text1"/>
          <w:sz w:val="24"/>
          <w:szCs w:val="24"/>
        </w:rPr>
        <w:t>ENO should be rewarded for facilitating a future where the ratepayers of New Orleans have lower electricity bills, enjoy improved electricity outlet reliability, and use less fossil-fuel generated electricity.</w:t>
      </w:r>
    </w:p>
    <w:p w14:paraId="27430555" w14:textId="77777777" w:rsidR="009C5E20" w:rsidRDefault="009C5E20">
      <w:pPr>
        <w:rPr>
          <w:rFonts w:eastAsiaTheme="majorEastAsia" w:cstheme="majorBidi"/>
          <w:b/>
          <w:bCs/>
          <w:caps/>
          <w:color w:val="000000" w:themeColor="text1"/>
          <w:spacing w:val="4"/>
          <w:sz w:val="36"/>
          <w:szCs w:val="36"/>
        </w:rPr>
      </w:pPr>
      <w:r>
        <w:rPr>
          <w:color w:val="000000" w:themeColor="text1"/>
          <w:sz w:val="36"/>
          <w:szCs w:val="36"/>
        </w:rPr>
        <w:br w:type="page"/>
      </w:r>
    </w:p>
    <w:p w14:paraId="2967B8B1" w14:textId="51F0C3A0" w:rsidR="00431517" w:rsidRPr="00632A00" w:rsidRDefault="00E702A6" w:rsidP="00D44602">
      <w:pPr>
        <w:pStyle w:val="TOCHeading"/>
        <w:spacing w:before="0" w:after="0"/>
        <w:outlineLvl w:val="0"/>
        <w:rPr>
          <w:rFonts w:asciiTheme="minorHAnsi" w:hAnsiTheme="minorHAnsi"/>
          <w:color w:val="000000" w:themeColor="text1"/>
          <w:sz w:val="36"/>
          <w:szCs w:val="36"/>
        </w:rPr>
      </w:pPr>
      <w:bookmarkStart w:id="2" w:name="_Toc428849530"/>
      <w:r>
        <w:rPr>
          <w:rFonts w:asciiTheme="minorHAnsi" w:hAnsiTheme="minorHAnsi"/>
          <w:color w:val="000000" w:themeColor="text1"/>
          <w:sz w:val="36"/>
          <w:szCs w:val="36"/>
        </w:rPr>
        <w:lastRenderedPageBreak/>
        <w:t xml:space="preserve">2    </w:t>
      </w:r>
      <w:r w:rsidR="00431517" w:rsidRPr="00632A00">
        <w:rPr>
          <w:rFonts w:asciiTheme="minorHAnsi" w:hAnsiTheme="minorHAnsi"/>
          <w:color w:val="000000" w:themeColor="text1"/>
          <w:sz w:val="36"/>
          <w:szCs w:val="36"/>
        </w:rPr>
        <w:t xml:space="preserve">Concise List of </w:t>
      </w:r>
      <w:r w:rsidR="00CB2823" w:rsidRPr="00632A00">
        <w:rPr>
          <w:rFonts w:asciiTheme="minorHAnsi" w:hAnsiTheme="minorHAnsi"/>
          <w:color w:val="000000" w:themeColor="text1"/>
          <w:sz w:val="36"/>
          <w:szCs w:val="36"/>
        </w:rPr>
        <w:t>BSI</w:t>
      </w:r>
      <w:r w:rsidR="00431517" w:rsidRPr="00632A00">
        <w:rPr>
          <w:rFonts w:asciiTheme="minorHAnsi" w:hAnsiTheme="minorHAnsi"/>
          <w:color w:val="000000" w:themeColor="text1"/>
          <w:sz w:val="36"/>
          <w:szCs w:val="36"/>
        </w:rPr>
        <w:t>’s Recommendations</w:t>
      </w:r>
      <w:bookmarkEnd w:id="2"/>
    </w:p>
    <w:p w14:paraId="223E7291" w14:textId="77777777" w:rsidR="00431517" w:rsidRPr="005C0080" w:rsidRDefault="00431517" w:rsidP="00D44602">
      <w:pPr>
        <w:spacing w:after="0"/>
        <w:rPr>
          <w:color w:val="000000" w:themeColor="text1"/>
          <w:sz w:val="24"/>
          <w:szCs w:val="24"/>
        </w:rPr>
      </w:pPr>
    </w:p>
    <w:p w14:paraId="29868130" w14:textId="754990A1" w:rsidR="00431517" w:rsidRPr="005C0080" w:rsidRDefault="00431517" w:rsidP="00D44602">
      <w:pPr>
        <w:spacing w:after="0"/>
        <w:rPr>
          <w:rFonts w:eastAsiaTheme="majorEastAsia" w:cstheme="majorBidi"/>
          <w:b/>
          <w:bCs/>
          <w:caps/>
          <w:color w:val="000000" w:themeColor="text1"/>
          <w:spacing w:val="4"/>
          <w:sz w:val="24"/>
          <w:szCs w:val="24"/>
        </w:rPr>
      </w:pPr>
      <w:r w:rsidRPr="005C0080">
        <w:rPr>
          <w:color w:val="000000" w:themeColor="text1"/>
          <w:sz w:val="24"/>
          <w:szCs w:val="24"/>
        </w:rPr>
        <w:t>How should the Council engage City of New Orleans [CNO] ratepayers and the construction industry to rapidly and economically reduce peak demand in sufficient size and speed?</w:t>
      </w:r>
    </w:p>
    <w:p w14:paraId="2816E3C8" w14:textId="77777777" w:rsidR="00431517" w:rsidRPr="005C0080" w:rsidRDefault="00431517" w:rsidP="00D44602">
      <w:pPr>
        <w:pStyle w:val="ListParagraph"/>
        <w:spacing w:after="0"/>
        <w:ind w:left="0"/>
        <w:rPr>
          <w:color w:val="000000" w:themeColor="text1"/>
          <w:sz w:val="24"/>
          <w:szCs w:val="24"/>
        </w:rPr>
      </w:pPr>
    </w:p>
    <w:p w14:paraId="112D453A" w14:textId="2F17B589" w:rsidR="00431517" w:rsidRPr="005C0080" w:rsidRDefault="00CB2823" w:rsidP="00D44602">
      <w:pPr>
        <w:pStyle w:val="ListParagraph"/>
        <w:spacing w:after="0"/>
        <w:ind w:left="0"/>
        <w:rPr>
          <w:color w:val="000000" w:themeColor="text1"/>
          <w:sz w:val="24"/>
          <w:szCs w:val="24"/>
        </w:rPr>
      </w:pPr>
      <w:r w:rsidRPr="005C0080">
        <w:rPr>
          <w:color w:val="000000" w:themeColor="text1"/>
          <w:sz w:val="24"/>
          <w:szCs w:val="24"/>
        </w:rPr>
        <w:t>BSI</w:t>
      </w:r>
      <w:r w:rsidR="00431517" w:rsidRPr="005C0080">
        <w:rPr>
          <w:color w:val="000000" w:themeColor="text1"/>
          <w:sz w:val="24"/>
          <w:szCs w:val="24"/>
        </w:rPr>
        <w:t xml:space="preserve"> believes any one the following three methods </w:t>
      </w:r>
      <w:r w:rsidR="00431517" w:rsidRPr="005C0080">
        <w:rPr>
          <w:i/>
          <w:color w:val="000000" w:themeColor="text1"/>
          <w:sz w:val="24"/>
          <w:szCs w:val="24"/>
        </w:rPr>
        <w:t>CAN</w:t>
      </w:r>
      <w:r w:rsidR="00431517" w:rsidRPr="005C0080">
        <w:rPr>
          <w:color w:val="000000" w:themeColor="text1"/>
          <w:sz w:val="24"/>
          <w:szCs w:val="24"/>
        </w:rPr>
        <w:t xml:space="preserve"> displace 300 MW of peak demand in 5 years.  </w:t>
      </w:r>
    </w:p>
    <w:p w14:paraId="10C5862F" w14:textId="58EADE65" w:rsidR="00431517" w:rsidRPr="005C0080" w:rsidRDefault="00431517" w:rsidP="00D44602">
      <w:pPr>
        <w:pStyle w:val="ListParagraph"/>
        <w:numPr>
          <w:ilvl w:val="0"/>
          <w:numId w:val="2"/>
        </w:numPr>
        <w:spacing w:after="0"/>
        <w:rPr>
          <w:color w:val="000000" w:themeColor="text1"/>
          <w:sz w:val="24"/>
          <w:szCs w:val="24"/>
        </w:rPr>
      </w:pPr>
      <w:r w:rsidRPr="005C0080">
        <w:rPr>
          <w:color w:val="000000" w:themeColor="text1"/>
          <w:sz w:val="24"/>
          <w:szCs w:val="24"/>
        </w:rPr>
        <w:t>Incentivize much more robust, extensive, and cost-effective energy-efficiency retrofits (a.k.a., demand-side management [DSM]) by utilizing many of the means described in the Elaborated Recommendations section at the end of this document</w:t>
      </w:r>
      <w:r w:rsidRPr="005C0080">
        <w:rPr>
          <w:i/>
          <w:color w:val="000000" w:themeColor="text1"/>
          <w:sz w:val="24"/>
          <w:szCs w:val="24"/>
        </w:rPr>
        <w:t>.</w:t>
      </w:r>
      <w:r w:rsidRPr="00973DB2">
        <w:rPr>
          <w:rStyle w:val="EndnoteReference"/>
          <w:color w:val="000000" w:themeColor="text1"/>
          <w:sz w:val="24"/>
          <w:szCs w:val="24"/>
        </w:rPr>
        <w:endnoteReference w:id="7"/>
      </w:r>
    </w:p>
    <w:p w14:paraId="04B970D3" w14:textId="77777777" w:rsidR="00431517" w:rsidRPr="005C0080" w:rsidRDefault="00431517" w:rsidP="00D44602">
      <w:pPr>
        <w:pStyle w:val="ListParagraph"/>
        <w:numPr>
          <w:ilvl w:val="0"/>
          <w:numId w:val="2"/>
        </w:numPr>
        <w:spacing w:after="0"/>
        <w:rPr>
          <w:color w:val="000000" w:themeColor="text1"/>
          <w:sz w:val="24"/>
          <w:szCs w:val="24"/>
        </w:rPr>
      </w:pPr>
      <w:r w:rsidRPr="005C0080">
        <w:rPr>
          <w:color w:val="000000" w:themeColor="text1"/>
          <w:sz w:val="24"/>
          <w:szCs w:val="24"/>
        </w:rPr>
        <w:t>Incentivize the installation of battery energy storage systems [BESS] in every building.</w:t>
      </w:r>
    </w:p>
    <w:p w14:paraId="592A0786" w14:textId="77777777" w:rsidR="00431517" w:rsidRPr="005C0080" w:rsidRDefault="00431517" w:rsidP="00D44602">
      <w:pPr>
        <w:pStyle w:val="ListParagraph"/>
        <w:numPr>
          <w:ilvl w:val="0"/>
          <w:numId w:val="2"/>
        </w:numPr>
        <w:spacing w:after="0"/>
        <w:rPr>
          <w:color w:val="000000" w:themeColor="text1"/>
          <w:sz w:val="24"/>
          <w:szCs w:val="24"/>
        </w:rPr>
      </w:pPr>
      <w:r w:rsidRPr="005C0080">
        <w:rPr>
          <w:color w:val="000000" w:themeColor="text1"/>
          <w:sz w:val="24"/>
          <w:szCs w:val="24"/>
        </w:rPr>
        <w:t xml:space="preserve">Incentivize and provide legislative support for Community Solar in two ways: </w:t>
      </w:r>
    </w:p>
    <w:p w14:paraId="3C6F7459" w14:textId="77777777" w:rsidR="00431517" w:rsidRPr="005C0080" w:rsidRDefault="00431517" w:rsidP="00D44602">
      <w:pPr>
        <w:pStyle w:val="ListParagraph"/>
        <w:numPr>
          <w:ilvl w:val="1"/>
          <w:numId w:val="2"/>
        </w:numPr>
        <w:spacing w:after="0"/>
        <w:ind w:left="1224"/>
        <w:rPr>
          <w:color w:val="000000" w:themeColor="text1"/>
          <w:sz w:val="24"/>
          <w:szCs w:val="24"/>
        </w:rPr>
      </w:pPr>
      <w:r w:rsidRPr="005C0080">
        <w:rPr>
          <w:color w:val="000000" w:themeColor="text1"/>
          <w:sz w:val="24"/>
          <w:szCs w:val="24"/>
        </w:rPr>
        <w:t>Promote 75kW to 3 MW solar farms at distressed property found all around the city.</w:t>
      </w:r>
    </w:p>
    <w:p w14:paraId="1ACF5DEA" w14:textId="77777777" w:rsidR="00431517" w:rsidRPr="005C0080" w:rsidRDefault="00431517" w:rsidP="00D44602">
      <w:pPr>
        <w:pStyle w:val="ListParagraph"/>
        <w:numPr>
          <w:ilvl w:val="1"/>
          <w:numId w:val="2"/>
        </w:numPr>
        <w:spacing w:after="0"/>
        <w:ind w:left="1224"/>
        <w:rPr>
          <w:color w:val="000000" w:themeColor="text1"/>
          <w:sz w:val="24"/>
          <w:szCs w:val="24"/>
        </w:rPr>
      </w:pPr>
      <w:r w:rsidRPr="005C0080">
        <w:rPr>
          <w:color w:val="000000" w:themeColor="text1"/>
          <w:sz w:val="24"/>
          <w:szCs w:val="24"/>
        </w:rPr>
        <w:t xml:space="preserve">Promote a system of small, 50 to 100 KW solar farms with 150 to 300 kWh of integral battery storage on many “key lots” of the city.  </w:t>
      </w:r>
    </w:p>
    <w:p w14:paraId="34EA1D6C" w14:textId="77777777" w:rsidR="00CE00DF" w:rsidRDefault="00CB2823" w:rsidP="00D44602">
      <w:pPr>
        <w:pStyle w:val="ListParagraph"/>
        <w:spacing w:after="0"/>
        <w:ind w:left="0"/>
        <w:rPr>
          <w:color w:val="000000" w:themeColor="text1"/>
          <w:sz w:val="24"/>
          <w:szCs w:val="24"/>
        </w:rPr>
      </w:pPr>
      <w:r w:rsidRPr="005C0080">
        <w:rPr>
          <w:color w:val="000000" w:themeColor="text1"/>
          <w:sz w:val="24"/>
          <w:szCs w:val="24"/>
        </w:rPr>
        <w:t>BSI</w:t>
      </w:r>
      <w:r w:rsidR="00431517" w:rsidRPr="005C0080">
        <w:rPr>
          <w:color w:val="000000" w:themeColor="text1"/>
          <w:sz w:val="24"/>
          <w:szCs w:val="24"/>
        </w:rPr>
        <w:t xml:space="preserve"> considers all of the above, as well as Demand Response, forms of DSM.</w:t>
      </w:r>
      <w:r w:rsidR="00431517" w:rsidRPr="005C0080">
        <w:rPr>
          <w:rStyle w:val="EndnoteReference"/>
          <w:color w:val="000000" w:themeColor="text1"/>
          <w:sz w:val="24"/>
          <w:szCs w:val="24"/>
        </w:rPr>
        <w:endnoteReference w:id="8"/>
      </w:r>
      <w:r w:rsidR="00431517" w:rsidRPr="005C0080">
        <w:rPr>
          <w:color w:val="000000" w:themeColor="text1"/>
          <w:sz w:val="24"/>
          <w:szCs w:val="24"/>
          <w:vertAlign w:val="superscript"/>
        </w:rPr>
        <w:t>,</w:t>
      </w:r>
      <w:r w:rsidR="00431517" w:rsidRPr="005C0080">
        <w:rPr>
          <w:rStyle w:val="EndnoteReference"/>
          <w:color w:val="000000" w:themeColor="text1"/>
          <w:sz w:val="24"/>
          <w:szCs w:val="24"/>
        </w:rPr>
        <w:endnoteReference w:id="9"/>
      </w:r>
      <w:r w:rsidR="00431517" w:rsidRPr="005C0080">
        <w:rPr>
          <w:color w:val="000000" w:themeColor="text1"/>
          <w:sz w:val="24"/>
          <w:szCs w:val="24"/>
        </w:rPr>
        <w:t xml:space="preserve">   </w:t>
      </w:r>
    </w:p>
    <w:p w14:paraId="46771F40" w14:textId="77777777" w:rsidR="00CE00DF" w:rsidRDefault="00CE00DF" w:rsidP="00D44602">
      <w:pPr>
        <w:pStyle w:val="ListParagraph"/>
        <w:spacing w:after="0"/>
        <w:ind w:left="0"/>
        <w:rPr>
          <w:color w:val="000000" w:themeColor="text1"/>
          <w:sz w:val="24"/>
          <w:szCs w:val="24"/>
        </w:rPr>
      </w:pPr>
    </w:p>
    <w:p w14:paraId="20529CD9" w14:textId="1477795A" w:rsidR="00431517" w:rsidRPr="005C0080" w:rsidRDefault="00431517" w:rsidP="00D44602">
      <w:pPr>
        <w:pStyle w:val="ListParagraph"/>
        <w:spacing w:after="0"/>
        <w:ind w:left="0"/>
        <w:rPr>
          <w:color w:val="000000" w:themeColor="text1"/>
          <w:sz w:val="24"/>
          <w:szCs w:val="24"/>
        </w:rPr>
      </w:pPr>
      <w:r w:rsidRPr="005C0080">
        <w:rPr>
          <w:color w:val="000000" w:themeColor="text1"/>
          <w:sz w:val="24"/>
          <w:szCs w:val="24"/>
        </w:rPr>
        <w:t xml:space="preserve">The Council should not pick the winner, allocate or segregate resources among these ways to reduce peak demand, but instead create </w:t>
      </w:r>
      <w:r w:rsidRPr="005C0080">
        <w:rPr>
          <w:i/>
          <w:color w:val="000000" w:themeColor="text1"/>
          <w:sz w:val="24"/>
          <w:szCs w:val="24"/>
        </w:rPr>
        <w:t>carrot and stick</w:t>
      </w:r>
      <w:r w:rsidRPr="005C0080">
        <w:rPr>
          <w:color w:val="000000" w:themeColor="text1"/>
          <w:sz w:val="24"/>
          <w:szCs w:val="24"/>
        </w:rPr>
        <w:t xml:space="preserve"> mechanisms of graduated charge increases and rebates to engage and transform the marketplace.</w:t>
      </w:r>
    </w:p>
    <w:p w14:paraId="1C57E536" w14:textId="1BEF4BB7" w:rsidR="00431517" w:rsidRPr="005C0080" w:rsidRDefault="00431517" w:rsidP="00D44602">
      <w:pPr>
        <w:pStyle w:val="ListParagraph"/>
        <w:numPr>
          <w:ilvl w:val="0"/>
          <w:numId w:val="1"/>
        </w:numPr>
        <w:spacing w:after="0"/>
        <w:rPr>
          <w:color w:val="000000" w:themeColor="text1"/>
          <w:sz w:val="24"/>
          <w:szCs w:val="24"/>
        </w:rPr>
      </w:pPr>
      <w:r w:rsidRPr="005C0080">
        <w:rPr>
          <w:color w:val="000000" w:themeColor="text1"/>
          <w:sz w:val="24"/>
          <w:szCs w:val="24"/>
        </w:rPr>
        <w:t xml:space="preserve">Install smart meters throughout the </w:t>
      </w:r>
      <w:r w:rsidR="00CB2823" w:rsidRPr="005C0080">
        <w:rPr>
          <w:color w:val="000000" w:themeColor="text1"/>
          <w:sz w:val="24"/>
          <w:szCs w:val="24"/>
        </w:rPr>
        <w:t>ENO</w:t>
      </w:r>
      <w:r w:rsidRPr="005C0080">
        <w:rPr>
          <w:color w:val="000000" w:themeColor="text1"/>
          <w:sz w:val="24"/>
          <w:szCs w:val="24"/>
        </w:rPr>
        <w:t xml:space="preserve"> building stock.  Each smart meter should have the ability to report consumption every 5 minutes.  Residential customers should be the last to get them because they are the smallest users per building.  In order to be eligible for rebates, discounts or power quality sales, customers must have smart meters.</w:t>
      </w:r>
      <w:r w:rsidRPr="005C0080">
        <w:rPr>
          <w:rStyle w:val="EndnoteReference"/>
          <w:color w:val="000000" w:themeColor="text1"/>
          <w:sz w:val="24"/>
          <w:szCs w:val="24"/>
        </w:rPr>
        <w:endnoteReference w:id="10"/>
      </w:r>
    </w:p>
    <w:p w14:paraId="7300FAD1" w14:textId="77777777" w:rsidR="00431517" w:rsidRPr="005C0080" w:rsidRDefault="00431517" w:rsidP="00D44602">
      <w:pPr>
        <w:pStyle w:val="ListParagraph"/>
        <w:numPr>
          <w:ilvl w:val="0"/>
          <w:numId w:val="1"/>
        </w:numPr>
        <w:spacing w:after="0"/>
        <w:rPr>
          <w:color w:val="000000" w:themeColor="text1"/>
          <w:sz w:val="24"/>
          <w:szCs w:val="24"/>
        </w:rPr>
      </w:pPr>
      <w:r w:rsidRPr="005C0080">
        <w:rPr>
          <w:color w:val="000000" w:themeColor="text1"/>
          <w:sz w:val="24"/>
          <w:szCs w:val="24"/>
        </w:rPr>
        <w:t>Change the rate structure from declining blocks to inclining blocks.</w:t>
      </w:r>
      <w:r w:rsidRPr="005C0080">
        <w:rPr>
          <w:rStyle w:val="EndnoteReference"/>
          <w:color w:val="000000" w:themeColor="text1"/>
          <w:sz w:val="24"/>
          <w:szCs w:val="24"/>
        </w:rPr>
        <w:endnoteReference w:id="11"/>
      </w:r>
    </w:p>
    <w:p w14:paraId="07A31898" w14:textId="77777777" w:rsidR="00431517" w:rsidRPr="005C0080" w:rsidRDefault="00431517" w:rsidP="00D44602">
      <w:pPr>
        <w:pStyle w:val="ListParagraph"/>
        <w:numPr>
          <w:ilvl w:val="0"/>
          <w:numId w:val="1"/>
        </w:numPr>
        <w:spacing w:after="0"/>
        <w:rPr>
          <w:color w:val="000000" w:themeColor="text1"/>
          <w:sz w:val="24"/>
          <w:szCs w:val="24"/>
        </w:rPr>
      </w:pPr>
      <w:r w:rsidRPr="005C0080">
        <w:rPr>
          <w:color w:val="000000" w:themeColor="text1"/>
          <w:sz w:val="24"/>
          <w:szCs w:val="24"/>
        </w:rPr>
        <w:t xml:space="preserve">Change the </w:t>
      </w:r>
      <w:r w:rsidRPr="005C0080">
        <w:rPr>
          <w:i/>
          <w:color w:val="000000" w:themeColor="text1"/>
          <w:sz w:val="24"/>
          <w:szCs w:val="24"/>
        </w:rPr>
        <w:t>demand charge</w:t>
      </w:r>
      <w:r w:rsidRPr="005C0080">
        <w:rPr>
          <w:color w:val="000000" w:themeColor="text1"/>
          <w:sz w:val="24"/>
          <w:szCs w:val="24"/>
        </w:rPr>
        <w:t xml:space="preserve"> found in all except residential customers bills to a </w:t>
      </w:r>
      <w:r w:rsidRPr="005C0080">
        <w:rPr>
          <w:i/>
          <w:color w:val="000000" w:themeColor="text1"/>
          <w:sz w:val="24"/>
          <w:szCs w:val="24"/>
        </w:rPr>
        <w:t xml:space="preserve">utility peak demand charge </w:t>
      </w:r>
      <w:r w:rsidRPr="005C0080">
        <w:rPr>
          <w:color w:val="000000" w:themeColor="text1"/>
          <w:sz w:val="24"/>
          <w:szCs w:val="24"/>
        </w:rPr>
        <w:t xml:space="preserve">from what the customer had been paying as a demand charge by equal steps each year for five years until $20/KW/month.  </w:t>
      </w:r>
      <w:r w:rsidRPr="005C0080">
        <w:rPr>
          <w:i/>
          <w:color w:val="000000" w:themeColor="text1"/>
          <w:sz w:val="24"/>
          <w:szCs w:val="24"/>
        </w:rPr>
        <w:t>Utility Peak Demand</w:t>
      </w:r>
      <w:r w:rsidRPr="005C0080">
        <w:rPr>
          <w:color w:val="000000" w:themeColor="text1"/>
          <w:sz w:val="24"/>
          <w:szCs w:val="24"/>
        </w:rPr>
        <w:t xml:space="preserve"> for a building is the maximum measured KW consumption rate during any consecutive 15-minute period within the utility’s 3 to 6 hour peak demand time of any day for a month of readings.</w:t>
      </w:r>
      <w:r w:rsidRPr="005C0080">
        <w:rPr>
          <w:rStyle w:val="EndnoteReference"/>
          <w:color w:val="000000" w:themeColor="text1"/>
          <w:sz w:val="24"/>
          <w:szCs w:val="24"/>
        </w:rPr>
        <w:endnoteReference w:id="12"/>
      </w:r>
    </w:p>
    <w:p w14:paraId="16F32BA7" w14:textId="77777777" w:rsidR="00431517" w:rsidRPr="005C0080" w:rsidRDefault="00431517" w:rsidP="00D44602">
      <w:pPr>
        <w:pStyle w:val="ListParagraph"/>
        <w:numPr>
          <w:ilvl w:val="0"/>
          <w:numId w:val="1"/>
        </w:numPr>
        <w:spacing w:after="0"/>
        <w:rPr>
          <w:color w:val="000000" w:themeColor="text1"/>
          <w:sz w:val="24"/>
          <w:szCs w:val="24"/>
        </w:rPr>
      </w:pPr>
      <w:r w:rsidRPr="005C0080">
        <w:rPr>
          <w:color w:val="000000" w:themeColor="text1"/>
          <w:sz w:val="24"/>
          <w:szCs w:val="24"/>
        </w:rPr>
        <w:t>Customers earn a 50% demand charge discount if they buy into a solar farm or install a rooftop system sufficiently large to displace at least 30% of their annual consumption.</w:t>
      </w:r>
      <w:r w:rsidRPr="005C0080">
        <w:rPr>
          <w:rStyle w:val="EndnoteReference"/>
          <w:color w:val="000000" w:themeColor="text1"/>
          <w:sz w:val="24"/>
          <w:szCs w:val="24"/>
        </w:rPr>
        <w:endnoteReference w:id="13"/>
      </w:r>
    </w:p>
    <w:p w14:paraId="09DE747F" w14:textId="77777777" w:rsidR="00431517" w:rsidRPr="005C0080" w:rsidRDefault="00431517" w:rsidP="00D44602">
      <w:pPr>
        <w:pStyle w:val="ListParagraph"/>
        <w:numPr>
          <w:ilvl w:val="0"/>
          <w:numId w:val="1"/>
        </w:numPr>
        <w:spacing w:after="0"/>
        <w:rPr>
          <w:color w:val="000000" w:themeColor="text1"/>
          <w:sz w:val="24"/>
          <w:szCs w:val="24"/>
        </w:rPr>
      </w:pPr>
      <w:r w:rsidRPr="005C0080">
        <w:rPr>
          <w:color w:val="000000" w:themeColor="text1"/>
          <w:sz w:val="24"/>
          <w:szCs w:val="24"/>
        </w:rPr>
        <w:t>Rule that kWh’s generated at a solar farm cannot be banked for future use; energy not consumed in a five-minute generation period is used to discount bills for low-income ratepayers.</w:t>
      </w:r>
      <w:r w:rsidRPr="005C0080">
        <w:rPr>
          <w:rStyle w:val="EndnoteReference"/>
          <w:color w:val="000000" w:themeColor="text1"/>
          <w:sz w:val="24"/>
          <w:szCs w:val="24"/>
        </w:rPr>
        <w:endnoteReference w:id="14"/>
      </w:r>
      <w:r w:rsidRPr="005C0080">
        <w:rPr>
          <w:color w:val="000000" w:themeColor="text1"/>
          <w:sz w:val="24"/>
          <w:szCs w:val="24"/>
        </w:rPr>
        <w:t xml:space="preserve">  Even better, set 10% as the preset amount allocated to low income.</w:t>
      </w:r>
    </w:p>
    <w:p w14:paraId="3627E2E9" w14:textId="77777777" w:rsidR="00431517" w:rsidRDefault="00431517" w:rsidP="00D44602">
      <w:pPr>
        <w:pStyle w:val="ListParagraph"/>
        <w:numPr>
          <w:ilvl w:val="0"/>
          <w:numId w:val="1"/>
        </w:numPr>
        <w:spacing w:after="0"/>
        <w:rPr>
          <w:color w:val="000000" w:themeColor="text1"/>
          <w:sz w:val="24"/>
          <w:szCs w:val="24"/>
        </w:rPr>
      </w:pPr>
      <w:r w:rsidRPr="005C0080">
        <w:rPr>
          <w:color w:val="000000" w:themeColor="text1"/>
          <w:sz w:val="24"/>
          <w:szCs w:val="24"/>
        </w:rPr>
        <w:t>Facilitate solar farms on key lots and/or economically distressed real estate.</w:t>
      </w:r>
    </w:p>
    <w:p w14:paraId="46387330" w14:textId="77777777" w:rsidR="009C5E20" w:rsidRDefault="009C5E20" w:rsidP="009C5E20">
      <w:pPr>
        <w:spacing w:after="0"/>
        <w:rPr>
          <w:color w:val="000000" w:themeColor="text1"/>
          <w:sz w:val="24"/>
          <w:szCs w:val="24"/>
        </w:rPr>
      </w:pPr>
    </w:p>
    <w:p w14:paraId="38F917E5" w14:textId="77777777" w:rsidR="009C5E20" w:rsidRPr="009C5E20" w:rsidRDefault="009C5E20" w:rsidP="009C5E20">
      <w:pPr>
        <w:spacing w:after="0"/>
        <w:rPr>
          <w:color w:val="000000" w:themeColor="text1"/>
          <w:sz w:val="24"/>
          <w:szCs w:val="24"/>
        </w:rPr>
      </w:pPr>
    </w:p>
    <w:p w14:paraId="3338D605" w14:textId="77777777" w:rsidR="00431517" w:rsidRPr="005C0080" w:rsidRDefault="00431517" w:rsidP="00D44602">
      <w:pPr>
        <w:pStyle w:val="ListParagraph"/>
        <w:numPr>
          <w:ilvl w:val="0"/>
          <w:numId w:val="1"/>
        </w:numPr>
        <w:spacing w:after="0"/>
        <w:rPr>
          <w:color w:val="000000" w:themeColor="text1"/>
          <w:sz w:val="24"/>
          <w:szCs w:val="24"/>
        </w:rPr>
      </w:pPr>
      <w:r w:rsidRPr="005C0080">
        <w:rPr>
          <w:color w:val="000000" w:themeColor="text1"/>
          <w:sz w:val="24"/>
          <w:szCs w:val="24"/>
        </w:rPr>
        <w:lastRenderedPageBreak/>
        <w:t>Institute a rebate schedule to incentivize reduction in peak demand.   Define “↓peak watt for 10 years” as the 10-year average demand drop during utility peak hours.</w:t>
      </w:r>
    </w:p>
    <w:p w14:paraId="26773B56" w14:textId="4509DF1F" w:rsidR="00431517" w:rsidRPr="005C0080" w:rsidRDefault="00431517" w:rsidP="00D44602">
      <w:pPr>
        <w:pStyle w:val="ListParagraph"/>
        <w:numPr>
          <w:ilvl w:val="1"/>
          <w:numId w:val="1"/>
        </w:numPr>
        <w:spacing w:after="0"/>
        <w:rPr>
          <w:color w:val="000000" w:themeColor="text1"/>
          <w:sz w:val="24"/>
          <w:szCs w:val="24"/>
        </w:rPr>
      </w:pPr>
      <w:r w:rsidRPr="005C0080">
        <w:rPr>
          <w:color w:val="000000" w:themeColor="text1"/>
          <w:sz w:val="24"/>
          <w:szCs w:val="24"/>
        </w:rPr>
        <w:t>Provide a $1.50/“↓peak watt for ten years” rebate for an energy efficiency retrofit that reduces the annual bill of a particular consumer by at least 10%; accept RESNET certified, Home Energy Raters as 3</w:t>
      </w:r>
      <w:r w:rsidRPr="005C0080">
        <w:rPr>
          <w:color w:val="000000" w:themeColor="text1"/>
          <w:sz w:val="24"/>
          <w:szCs w:val="24"/>
          <w:vertAlign w:val="superscript"/>
        </w:rPr>
        <w:t>rd</w:t>
      </w:r>
      <w:r w:rsidRPr="005C0080">
        <w:rPr>
          <w:color w:val="000000" w:themeColor="text1"/>
          <w:sz w:val="24"/>
          <w:szCs w:val="24"/>
        </w:rPr>
        <w:t xml:space="preserve"> party verifiers;</w:t>
      </w:r>
      <w:r w:rsidRPr="005C0080">
        <w:rPr>
          <w:rStyle w:val="EndnoteReference"/>
          <w:color w:val="000000" w:themeColor="text1"/>
          <w:sz w:val="24"/>
          <w:szCs w:val="24"/>
        </w:rPr>
        <w:endnoteReference w:id="15"/>
      </w:r>
      <w:r w:rsidR="009C5E20">
        <w:rPr>
          <w:color w:val="000000" w:themeColor="text1"/>
          <w:sz w:val="24"/>
          <w:szCs w:val="24"/>
        </w:rPr>
        <w:t xml:space="preserve"> </w:t>
      </w:r>
      <w:r w:rsidRPr="005C0080">
        <w:rPr>
          <w:color w:val="000000" w:themeColor="text1"/>
          <w:sz w:val="24"/>
          <w:szCs w:val="24"/>
        </w:rPr>
        <w:t>CNO retains ownership of associated White Certificates [WC].</w:t>
      </w:r>
      <w:r w:rsidRPr="005C0080">
        <w:rPr>
          <w:rStyle w:val="EndnoteReference"/>
          <w:color w:val="000000" w:themeColor="text1"/>
          <w:sz w:val="24"/>
          <w:szCs w:val="24"/>
        </w:rPr>
        <w:endnoteReference w:id="16"/>
      </w:r>
      <w:r w:rsidRPr="005C0080">
        <w:rPr>
          <w:color w:val="000000" w:themeColor="text1"/>
          <w:sz w:val="24"/>
          <w:szCs w:val="24"/>
          <w:vertAlign w:val="superscript"/>
        </w:rPr>
        <w:t>,</w:t>
      </w:r>
      <w:r w:rsidRPr="005C0080">
        <w:rPr>
          <w:rStyle w:val="EndnoteReference"/>
          <w:color w:val="000000" w:themeColor="text1"/>
          <w:sz w:val="24"/>
          <w:szCs w:val="24"/>
        </w:rPr>
        <w:endnoteReference w:id="17"/>
      </w:r>
      <w:r w:rsidRPr="005C0080">
        <w:rPr>
          <w:color w:val="000000" w:themeColor="text1"/>
          <w:sz w:val="24"/>
          <w:szCs w:val="24"/>
          <w:vertAlign w:val="superscript"/>
        </w:rPr>
        <w:t>,</w:t>
      </w:r>
      <w:r w:rsidRPr="005C0080">
        <w:rPr>
          <w:rStyle w:val="EndnoteReference"/>
          <w:color w:val="000000" w:themeColor="text1"/>
          <w:sz w:val="24"/>
          <w:szCs w:val="24"/>
        </w:rPr>
        <w:endnoteReference w:id="18"/>
      </w:r>
      <w:r w:rsidRPr="005C0080">
        <w:rPr>
          <w:color w:val="000000" w:themeColor="text1"/>
          <w:sz w:val="24"/>
          <w:szCs w:val="24"/>
          <w:vertAlign w:val="superscript"/>
        </w:rPr>
        <w:t>,</w:t>
      </w:r>
      <w:r w:rsidRPr="005C0080">
        <w:rPr>
          <w:rStyle w:val="EndnoteReference"/>
          <w:color w:val="000000" w:themeColor="text1"/>
          <w:sz w:val="24"/>
          <w:szCs w:val="24"/>
        </w:rPr>
        <w:endnoteReference w:id="19"/>
      </w:r>
    </w:p>
    <w:p w14:paraId="472C0A97" w14:textId="77777777" w:rsidR="00431517" w:rsidRPr="005C0080" w:rsidRDefault="00431517" w:rsidP="00D44602">
      <w:pPr>
        <w:pStyle w:val="ListParagraph"/>
        <w:numPr>
          <w:ilvl w:val="1"/>
          <w:numId w:val="1"/>
        </w:numPr>
        <w:spacing w:after="0"/>
        <w:rPr>
          <w:color w:val="000000" w:themeColor="text1"/>
          <w:sz w:val="24"/>
          <w:szCs w:val="24"/>
        </w:rPr>
      </w:pPr>
      <w:r w:rsidRPr="005C0080">
        <w:rPr>
          <w:color w:val="000000" w:themeColor="text1"/>
          <w:sz w:val="24"/>
          <w:szCs w:val="24"/>
        </w:rPr>
        <w:t>Provide a $0.75/“↓peak watt for ten years” rebate for purchasing part of a PV system.  The utility retains ownership of the ZRC for the purposes of MISO but not an equity interest in PV systems partially financed this way.  The CNO retains ownership of the associated Renewable Energy Credits [REC].</w:t>
      </w:r>
      <w:r w:rsidRPr="005C0080">
        <w:rPr>
          <w:rStyle w:val="EndnoteReference"/>
          <w:color w:val="000000" w:themeColor="text1"/>
          <w:sz w:val="24"/>
          <w:szCs w:val="24"/>
        </w:rPr>
        <w:endnoteReference w:id="20"/>
      </w:r>
      <w:r w:rsidRPr="005C0080">
        <w:rPr>
          <w:color w:val="000000" w:themeColor="text1"/>
          <w:sz w:val="24"/>
          <w:szCs w:val="24"/>
          <w:vertAlign w:val="superscript"/>
        </w:rPr>
        <w:t>,</w:t>
      </w:r>
      <w:r w:rsidRPr="005C0080">
        <w:rPr>
          <w:rStyle w:val="EndnoteReference"/>
          <w:color w:val="000000" w:themeColor="text1"/>
          <w:sz w:val="24"/>
          <w:szCs w:val="24"/>
        </w:rPr>
        <w:endnoteReference w:id="21"/>
      </w:r>
    </w:p>
    <w:p w14:paraId="7F9F0D1B" w14:textId="77777777" w:rsidR="00431517" w:rsidRPr="005C0080" w:rsidRDefault="00431517" w:rsidP="00D44602">
      <w:pPr>
        <w:pStyle w:val="ListParagraph"/>
        <w:numPr>
          <w:ilvl w:val="1"/>
          <w:numId w:val="1"/>
        </w:numPr>
        <w:spacing w:after="0"/>
        <w:rPr>
          <w:color w:val="000000" w:themeColor="text1"/>
          <w:sz w:val="24"/>
          <w:szCs w:val="24"/>
        </w:rPr>
      </w:pPr>
      <w:r w:rsidRPr="005C0080">
        <w:rPr>
          <w:color w:val="000000" w:themeColor="text1"/>
          <w:sz w:val="24"/>
          <w:szCs w:val="24"/>
        </w:rPr>
        <w:t>Provide a $0.50/“↓peak watt for ten years” rebate for any purchase of part of a BESS.  The utility retains ownership of the ZRC for the purposes of MISO but not an equity interest in battery systems partially financed this way.</w:t>
      </w:r>
      <w:r w:rsidRPr="005C0080">
        <w:rPr>
          <w:rStyle w:val="EndnoteReference"/>
          <w:color w:val="000000" w:themeColor="text1"/>
          <w:sz w:val="24"/>
          <w:szCs w:val="24"/>
        </w:rPr>
        <w:endnoteReference w:id="22"/>
      </w:r>
    </w:p>
    <w:p w14:paraId="13C6C53D" w14:textId="77777777" w:rsidR="00431517" w:rsidRPr="005C0080" w:rsidRDefault="00431517" w:rsidP="00D44602">
      <w:pPr>
        <w:pStyle w:val="ListParagraph"/>
        <w:numPr>
          <w:ilvl w:val="1"/>
          <w:numId w:val="1"/>
        </w:numPr>
        <w:spacing w:after="0"/>
        <w:rPr>
          <w:color w:val="000000" w:themeColor="text1"/>
          <w:sz w:val="24"/>
          <w:szCs w:val="24"/>
        </w:rPr>
      </w:pPr>
      <w:r w:rsidRPr="005C0080">
        <w:rPr>
          <w:color w:val="000000" w:themeColor="text1"/>
          <w:sz w:val="24"/>
          <w:szCs w:val="24"/>
        </w:rPr>
        <w:t>Provide a $0.20/”↓peak watt for ten years” rebate for any other kind of retrofit.</w:t>
      </w:r>
      <w:r w:rsidRPr="005C0080">
        <w:rPr>
          <w:rStyle w:val="EndnoteReference"/>
          <w:color w:val="000000" w:themeColor="text1"/>
          <w:sz w:val="24"/>
          <w:szCs w:val="24"/>
        </w:rPr>
        <w:endnoteReference w:id="23"/>
      </w:r>
    </w:p>
    <w:p w14:paraId="4B897586" w14:textId="024AAC72" w:rsidR="00431517" w:rsidRPr="005C0080" w:rsidRDefault="00431517" w:rsidP="00D44602">
      <w:pPr>
        <w:pStyle w:val="ListParagraph"/>
        <w:numPr>
          <w:ilvl w:val="0"/>
          <w:numId w:val="1"/>
        </w:numPr>
        <w:spacing w:after="0"/>
        <w:rPr>
          <w:color w:val="000000" w:themeColor="text1"/>
          <w:sz w:val="24"/>
          <w:szCs w:val="24"/>
        </w:rPr>
      </w:pPr>
      <w:r w:rsidRPr="005C0080">
        <w:rPr>
          <w:color w:val="000000" w:themeColor="text1"/>
          <w:sz w:val="24"/>
          <w:szCs w:val="24"/>
        </w:rPr>
        <w:t xml:space="preserve">Provide a mechanism whereby any </w:t>
      </w:r>
      <w:r w:rsidR="00CB2823" w:rsidRPr="005C0080">
        <w:rPr>
          <w:color w:val="000000" w:themeColor="text1"/>
          <w:sz w:val="24"/>
          <w:szCs w:val="24"/>
        </w:rPr>
        <w:t>ENO</w:t>
      </w:r>
      <w:r w:rsidRPr="005C0080">
        <w:rPr>
          <w:color w:val="000000" w:themeColor="text1"/>
          <w:sz w:val="24"/>
          <w:szCs w:val="24"/>
        </w:rPr>
        <w:t xml:space="preserve"> customer can sell power quality services, i.e., spinning reserve and/or frequency regulation, to </w:t>
      </w:r>
      <w:r w:rsidR="00CB2823" w:rsidRPr="005C0080">
        <w:rPr>
          <w:color w:val="000000" w:themeColor="text1"/>
          <w:sz w:val="24"/>
          <w:szCs w:val="24"/>
        </w:rPr>
        <w:t>ENO</w:t>
      </w:r>
      <w:r w:rsidRPr="005C0080">
        <w:rPr>
          <w:color w:val="000000" w:themeColor="text1"/>
          <w:sz w:val="24"/>
          <w:szCs w:val="24"/>
        </w:rPr>
        <w:t xml:space="preserve"> or MISO at competitive rates.</w:t>
      </w:r>
      <w:r w:rsidRPr="005C0080">
        <w:rPr>
          <w:rStyle w:val="EndnoteReference"/>
          <w:color w:val="000000" w:themeColor="text1"/>
          <w:sz w:val="24"/>
          <w:szCs w:val="24"/>
        </w:rPr>
        <w:endnoteReference w:id="24"/>
      </w:r>
    </w:p>
    <w:p w14:paraId="736E70A4" w14:textId="715B5575" w:rsidR="00431517" w:rsidRPr="008336BD" w:rsidRDefault="00117B69" w:rsidP="00D44602">
      <w:pPr>
        <w:pStyle w:val="ListParagraph"/>
        <w:numPr>
          <w:ilvl w:val="0"/>
          <w:numId w:val="1"/>
        </w:numPr>
        <w:spacing w:after="0"/>
        <w:rPr>
          <w:color w:val="000000" w:themeColor="text1"/>
          <w:sz w:val="24"/>
          <w:szCs w:val="24"/>
        </w:rPr>
      </w:pPr>
      <w:r>
        <w:rPr>
          <w:color w:val="000000" w:themeColor="text1"/>
          <w:sz w:val="24"/>
          <w:szCs w:val="24"/>
        </w:rPr>
        <w:t xml:space="preserve">Mandate that </w:t>
      </w:r>
      <w:r w:rsidR="00431517" w:rsidRPr="005C0080">
        <w:rPr>
          <w:color w:val="000000" w:themeColor="text1"/>
          <w:sz w:val="24"/>
          <w:szCs w:val="24"/>
        </w:rPr>
        <w:t>Real Estate Multi-listing services publicize en</w:t>
      </w:r>
      <w:r w:rsidR="00431517" w:rsidRPr="008336BD">
        <w:rPr>
          <w:color w:val="000000" w:themeColor="text1"/>
          <w:sz w:val="24"/>
          <w:szCs w:val="24"/>
        </w:rPr>
        <w:t>ergy ratings if available.</w:t>
      </w:r>
      <w:r w:rsidR="00431517" w:rsidRPr="008336BD">
        <w:rPr>
          <w:rStyle w:val="EndnoteReference"/>
          <w:color w:val="000000" w:themeColor="text1"/>
          <w:sz w:val="24"/>
          <w:szCs w:val="24"/>
        </w:rPr>
        <w:endnoteReference w:id="25"/>
      </w:r>
    </w:p>
    <w:p w14:paraId="6EE4310C" w14:textId="2305A83A" w:rsidR="00431517" w:rsidRDefault="00431517" w:rsidP="00D44602">
      <w:pPr>
        <w:pStyle w:val="ListParagraph"/>
        <w:numPr>
          <w:ilvl w:val="0"/>
          <w:numId w:val="1"/>
        </w:numPr>
        <w:spacing w:after="0"/>
        <w:rPr>
          <w:sz w:val="24"/>
          <w:szCs w:val="24"/>
        </w:rPr>
      </w:pPr>
      <w:r w:rsidRPr="00ED6082">
        <w:rPr>
          <w:sz w:val="24"/>
          <w:szCs w:val="24"/>
        </w:rPr>
        <w:t xml:space="preserve">Invite input by educational institutions, other industries or NGO’s to propose regulatory changes or rebates that can invite their services or further lower </w:t>
      </w:r>
      <w:r w:rsidR="00CB2823">
        <w:rPr>
          <w:sz w:val="24"/>
          <w:szCs w:val="24"/>
        </w:rPr>
        <w:t>ENO</w:t>
      </w:r>
      <w:r w:rsidRPr="00ED6082">
        <w:rPr>
          <w:sz w:val="24"/>
          <w:szCs w:val="24"/>
        </w:rPr>
        <w:t>’s DSM costs.</w:t>
      </w:r>
    </w:p>
    <w:p w14:paraId="7366EC37" w14:textId="77777777" w:rsidR="006C0D8F" w:rsidRPr="00ED6082" w:rsidRDefault="006C0D8F" w:rsidP="001628F0">
      <w:pPr>
        <w:pStyle w:val="ListParagraph"/>
        <w:spacing w:after="0"/>
        <w:rPr>
          <w:sz w:val="24"/>
          <w:szCs w:val="24"/>
        </w:rPr>
      </w:pPr>
    </w:p>
    <w:p w14:paraId="433A81BC" w14:textId="2750DD5B" w:rsidR="00431517" w:rsidRDefault="00431517" w:rsidP="00D44602">
      <w:pPr>
        <w:spacing w:after="0"/>
        <w:rPr>
          <w:color w:val="FF0000"/>
          <w:sz w:val="24"/>
          <w:szCs w:val="24"/>
        </w:rPr>
      </w:pPr>
      <w:r w:rsidRPr="00ED6082">
        <w:rPr>
          <w:color w:val="FF0000"/>
          <w:sz w:val="24"/>
          <w:szCs w:val="24"/>
        </w:rPr>
        <w:t xml:space="preserve">What should </w:t>
      </w:r>
      <w:r w:rsidR="00CB2823">
        <w:rPr>
          <w:color w:val="FF0000"/>
          <w:sz w:val="24"/>
          <w:szCs w:val="24"/>
        </w:rPr>
        <w:t>ENO</w:t>
      </w:r>
      <w:r w:rsidRPr="00ED6082">
        <w:rPr>
          <w:color w:val="FF0000"/>
          <w:sz w:val="24"/>
          <w:szCs w:val="24"/>
        </w:rPr>
        <w:t xml:space="preserve"> do while waiting for these peak demand programs to have their full effect?</w:t>
      </w:r>
    </w:p>
    <w:p w14:paraId="6A012ACC" w14:textId="77777777" w:rsidR="00CE00DF" w:rsidRPr="00ED6082" w:rsidRDefault="00CE00DF" w:rsidP="00D44602">
      <w:pPr>
        <w:spacing w:after="0"/>
        <w:rPr>
          <w:sz w:val="24"/>
          <w:szCs w:val="24"/>
        </w:rPr>
      </w:pPr>
    </w:p>
    <w:p w14:paraId="368FE430" w14:textId="52ED578E" w:rsidR="00431517" w:rsidRPr="00ED6082" w:rsidRDefault="00CB2823" w:rsidP="00795D6C">
      <w:pPr>
        <w:pStyle w:val="ListParagraph"/>
        <w:numPr>
          <w:ilvl w:val="0"/>
          <w:numId w:val="44"/>
        </w:numPr>
        <w:spacing w:after="0"/>
        <w:rPr>
          <w:sz w:val="24"/>
          <w:szCs w:val="24"/>
        </w:rPr>
      </w:pPr>
      <w:r>
        <w:rPr>
          <w:sz w:val="24"/>
          <w:szCs w:val="24"/>
        </w:rPr>
        <w:t>ENO</w:t>
      </w:r>
      <w:r w:rsidR="00431517" w:rsidRPr="00ED6082">
        <w:rPr>
          <w:sz w:val="24"/>
          <w:szCs w:val="24"/>
        </w:rPr>
        <w:t xml:space="preserve"> should continue to satisfy unmet peaking energy needs with power from MISO.</w:t>
      </w:r>
      <w:r w:rsidR="00431517" w:rsidRPr="00ED6082">
        <w:rPr>
          <w:rStyle w:val="EndnoteReference"/>
          <w:sz w:val="24"/>
          <w:szCs w:val="24"/>
        </w:rPr>
        <w:endnoteReference w:id="26"/>
      </w:r>
    </w:p>
    <w:p w14:paraId="4931C593" w14:textId="604C01D0" w:rsidR="00431517" w:rsidRPr="00ED6082" w:rsidRDefault="0059383B" w:rsidP="00795D6C">
      <w:pPr>
        <w:pStyle w:val="ListParagraph"/>
        <w:numPr>
          <w:ilvl w:val="0"/>
          <w:numId w:val="44"/>
        </w:numPr>
        <w:spacing w:after="0"/>
        <w:rPr>
          <w:sz w:val="24"/>
          <w:szCs w:val="24"/>
        </w:rPr>
      </w:pPr>
      <w:r>
        <w:rPr>
          <w:sz w:val="24"/>
          <w:szCs w:val="24"/>
        </w:rPr>
        <w:t>ENO</w:t>
      </w:r>
      <w:r w:rsidRPr="00ED6082">
        <w:rPr>
          <w:sz w:val="24"/>
          <w:szCs w:val="24"/>
        </w:rPr>
        <w:t xml:space="preserve"> should </w:t>
      </w:r>
      <w:r>
        <w:rPr>
          <w:sz w:val="24"/>
          <w:szCs w:val="24"/>
        </w:rPr>
        <w:t>s</w:t>
      </w:r>
      <w:r w:rsidR="00431517" w:rsidRPr="00ED6082">
        <w:rPr>
          <w:sz w:val="24"/>
          <w:szCs w:val="24"/>
        </w:rPr>
        <w:t>top adding generation resources to the rate-base now and for the foreseeable future.</w:t>
      </w:r>
      <w:r w:rsidR="00431517" w:rsidRPr="00ED6082">
        <w:rPr>
          <w:rStyle w:val="EndnoteReference"/>
          <w:sz w:val="24"/>
          <w:szCs w:val="24"/>
        </w:rPr>
        <w:endnoteReference w:id="27"/>
      </w:r>
    </w:p>
    <w:p w14:paraId="157584D4" w14:textId="42EA61A2" w:rsidR="00431517" w:rsidRPr="00ED6082" w:rsidRDefault="0059383B" w:rsidP="00795D6C">
      <w:pPr>
        <w:pStyle w:val="ListParagraph"/>
        <w:numPr>
          <w:ilvl w:val="0"/>
          <w:numId w:val="44"/>
        </w:numPr>
        <w:spacing w:after="0"/>
        <w:rPr>
          <w:sz w:val="24"/>
          <w:szCs w:val="24"/>
        </w:rPr>
      </w:pPr>
      <w:r>
        <w:rPr>
          <w:sz w:val="24"/>
          <w:szCs w:val="24"/>
        </w:rPr>
        <w:t>The Council should t</w:t>
      </w:r>
      <w:r w:rsidR="00431517" w:rsidRPr="00ED6082">
        <w:rPr>
          <w:sz w:val="24"/>
          <w:szCs w:val="24"/>
        </w:rPr>
        <w:t xml:space="preserve">erminate the existing regulatory paradigm by which </w:t>
      </w:r>
      <w:r w:rsidR="00CB2823">
        <w:rPr>
          <w:sz w:val="24"/>
          <w:szCs w:val="24"/>
        </w:rPr>
        <w:t>ENO</w:t>
      </w:r>
      <w:r w:rsidR="00431517" w:rsidRPr="00ED6082">
        <w:rPr>
          <w:sz w:val="24"/>
          <w:szCs w:val="24"/>
        </w:rPr>
        <w:t xml:space="preserve"> makes more profit only by building more generators and replace it with a new decoupling paradigm which rewards </w:t>
      </w:r>
      <w:r w:rsidR="00CB2823">
        <w:rPr>
          <w:sz w:val="24"/>
          <w:szCs w:val="24"/>
        </w:rPr>
        <w:t>ENO</w:t>
      </w:r>
      <w:r w:rsidR="00431517" w:rsidRPr="00ED6082">
        <w:rPr>
          <w:sz w:val="24"/>
          <w:szCs w:val="24"/>
        </w:rPr>
        <w:t xml:space="preserve"> for efficiency in delivering energy services.</w:t>
      </w:r>
      <w:r w:rsidR="00431517" w:rsidRPr="00ED6082">
        <w:rPr>
          <w:rStyle w:val="EndnoteReference"/>
          <w:sz w:val="24"/>
          <w:szCs w:val="24"/>
        </w:rPr>
        <w:endnoteReference w:id="28"/>
      </w:r>
    </w:p>
    <w:p w14:paraId="5875661F" w14:textId="2C05BB2F" w:rsidR="00431517" w:rsidRPr="00ED6082" w:rsidRDefault="0059383B" w:rsidP="00795D6C">
      <w:pPr>
        <w:pStyle w:val="ListParagraph"/>
        <w:numPr>
          <w:ilvl w:val="0"/>
          <w:numId w:val="44"/>
        </w:numPr>
        <w:spacing w:after="0"/>
        <w:rPr>
          <w:sz w:val="24"/>
          <w:szCs w:val="24"/>
        </w:rPr>
      </w:pPr>
      <w:r>
        <w:rPr>
          <w:sz w:val="24"/>
          <w:szCs w:val="24"/>
        </w:rPr>
        <w:t>The Council should r</w:t>
      </w:r>
      <w:r w:rsidR="00431517" w:rsidRPr="00ED6082">
        <w:rPr>
          <w:sz w:val="24"/>
          <w:szCs w:val="24"/>
        </w:rPr>
        <w:t xml:space="preserve">emove DSM from </w:t>
      </w:r>
      <w:r w:rsidR="00CB2823">
        <w:rPr>
          <w:sz w:val="24"/>
          <w:szCs w:val="24"/>
        </w:rPr>
        <w:t>ENO</w:t>
      </w:r>
      <w:r w:rsidR="00431517" w:rsidRPr="00ED6082">
        <w:rPr>
          <w:sz w:val="24"/>
          <w:szCs w:val="24"/>
        </w:rPr>
        <w:t>’s control and place it under the control of a third party administrator.</w:t>
      </w:r>
      <w:r w:rsidR="00431517" w:rsidRPr="00ED6082">
        <w:rPr>
          <w:rStyle w:val="EndnoteReference"/>
          <w:sz w:val="24"/>
          <w:szCs w:val="24"/>
        </w:rPr>
        <w:endnoteReference w:id="29"/>
      </w:r>
    </w:p>
    <w:p w14:paraId="6C3C8D2F" w14:textId="77777777" w:rsidR="00CE00DF" w:rsidRDefault="00CE00DF" w:rsidP="00D44602">
      <w:pPr>
        <w:spacing w:after="0"/>
        <w:rPr>
          <w:color w:val="FF0000"/>
          <w:sz w:val="24"/>
          <w:szCs w:val="24"/>
        </w:rPr>
      </w:pPr>
    </w:p>
    <w:p w14:paraId="2ADB9A71" w14:textId="77777777" w:rsidR="00431517" w:rsidRDefault="00431517" w:rsidP="00D44602">
      <w:pPr>
        <w:spacing w:after="0"/>
        <w:rPr>
          <w:color w:val="FF0000"/>
          <w:sz w:val="24"/>
          <w:szCs w:val="24"/>
        </w:rPr>
      </w:pPr>
      <w:r w:rsidRPr="00ED6082">
        <w:rPr>
          <w:color w:val="FF0000"/>
          <w:sz w:val="24"/>
          <w:szCs w:val="24"/>
        </w:rPr>
        <w:t>What should the Council do to ensure that this IRP process and future IRP processes find optimal results?</w:t>
      </w:r>
    </w:p>
    <w:p w14:paraId="37DC522E" w14:textId="77777777" w:rsidR="001707E6" w:rsidRPr="00ED6082" w:rsidRDefault="001707E6" w:rsidP="00D44602">
      <w:pPr>
        <w:spacing w:after="0"/>
        <w:rPr>
          <w:color w:val="FF0000"/>
          <w:sz w:val="24"/>
          <w:szCs w:val="24"/>
        </w:rPr>
      </w:pPr>
    </w:p>
    <w:p w14:paraId="47C4D111" w14:textId="386001D4" w:rsidR="001707E6" w:rsidRDefault="0059383B" w:rsidP="009854B8">
      <w:pPr>
        <w:rPr>
          <w:b/>
          <w:color w:val="000000" w:themeColor="text1"/>
          <w:sz w:val="24"/>
          <w:szCs w:val="24"/>
        </w:rPr>
      </w:pPr>
      <w:r>
        <w:rPr>
          <w:b/>
          <w:color w:val="000000" w:themeColor="text1"/>
          <w:sz w:val="24"/>
          <w:szCs w:val="24"/>
        </w:rPr>
        <w:t>Compensate</w:t>
      </w:r>
      <w:r w:rsidR="009854B8" w:rsidRPr="000069AA">
        <w:rPr>
          <w:b/>
          <w:color w:val="000000" w:themeColor="text1"/>
          <w:sz w:val="24"/>
          <w:szCs w:val="24"/>
        </w:rPr>
        <w:t xml:space="preserve"> intervenors when their contribution to a regulatory decision saves money.</w:t>
      </w:r>
    </w:p>
    <w:p w14:paraId="64E6B9E2" w14:textId="77777777" w:rsidR="007A7555" w:rsidRDefault="007A7555">
      <w:pPr>
        <w:rPr>
          <w:rFonts w:eastAsiaTheme="majorEastAsia" w:cstheme="majorBidi"/>
          <w:b/>
          <w:bCs/>
          <w:spacing w:val="4"/>
          <w:sz w:val="24"/>
          <w:szCs w:val="24"/>
        </w:rPr>
      </w:pPr>
      <w:bookmarkStart w:id="3" w:name="_Toc428849569"/>
      <w:r>
        <w:rPr>
          <w:caps/>
          <w:sz w:val="24"/>
          <w:szCs w:val="24"/>
        </w:rPr>
        <w:br w:type="page"/>
      </w:r>
    </w:p>
    <w:p w14:paraId="77A73417" w14:textId="1546A36D" w:rsidR="00F715FC" w:rsidRPr="00205543" w:rsidRDefault="00F715FC" w:rsidP="009D75B1">
      <w:pPr>
        <w:pStyle w:val="ListParagraph"/>
        <w:spacing w:after="0"/>
        <w:ind w:left="0"/>
        <w:outlineLvl w:val="0"/>
        <w:rPr>
          <w:sz w:val="24"/>
          <w:szCs w:val="24"/>
        </w:rPr>
      </w:pPr>
      <w:bookmarkStart w:id="4" w:name="_Toc428849573"/>
      <w:bookmarkEnd w:id="3"/>
      <w:r w:rsidRPr="00205543">
        <w:rPr>
          <w:noProof/>
          <w:sz w:val="24"/>
          <w:szCs w:val="24"/>
        </w:rPr>
        <w:lastRenderedPageBreak/>
        <w:drawing>
          <wp:anchor distT="0" distB="0" distL="114300" distR="114300" simplePos="0" relativeHeight="251678720" behindDoc="1" locked="0" layoutInCell="1" allowOverlap="1" wp14:anchorId="1528B0F2" wp14:editId="2465BB44">
            <wp:simplePos x="0" y="0"/>
            <wp:positionH relativeFrom="margin">
              <wp:posOffset>-193183</wp:posOffset>
            </wp:positionH>
            <wp:positionV relativeFrom="paragraph">
              <wp:posOffset>0</wp:posOffset>
            </wp:positionV>
            <wp:extent cx="6236932" cy="8066698"/>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D-LetterOfSupportP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6932" cy="8066698"/>
                    </a:xfrm>
                    <a:prstGeom prst="rect">
                      <a:avLst/>
                    </a:prstGeom>
                  </pic:spPr>
                </pic:pic>
              </a:graphicData>
            </a:graphic>
            <wp14:sizeRelH relativeFrom="page">
              <wp14:pctWidth>0</wp14:pctWidth>
            </wp14:sizeRelH>
            <wp14:sizeRelV relativeFrom="page">
              <wp14:pctHeight>0</wp14:pctHeight>
            </wp14:sizeRelV>
          </wp:anchor>
        </w:drawing>
      </w:r>
      <w:r w:rsidR="00774431" w:rsidRPr="00205543">
        <w:rPr>
          <w:sz w:val="24"/>
          <w:szCs w:val="24"/>
        </w:rPr>
        <w:t>Appendix E</w:t>
      </w:r>
      <w:r w:rsidRPr="00205543">
        <w:rPr>
          <w:sz w:val="24"/>
          <w:szCs w:val="24"/>
        </w:rPr>
        <w:t xml:space="preserve">   —   </w:t>
      </w:r>
      <w:r w:rsidR="00E13D8B" w:rsidRPr="00205543">
        <w:rPr>
          <w:sz w:val="24"/>
          <w:szCs w:val="24"/>
        </w:rPr>
        <w:t xml:space="preserve">Letter of Support   — </w:t>
      </w:r>
      <w:r w:rsidR="00E13D8B" w:rsidRPr="00205543">
        <w:rPr>
          <w:sz w:val="24"/>
          <w:szCs w:val="24"/>
        </w:rPr>
        <w:tab/>
      </w:r>
      <w:r w:rsidR="00E13D8B" w:rsidRPr="00205543">
        <w:rPr>
          <w:sz w:val="24"/>
          <w:szCs w:val="24"/>
        </w:rPr>
        <w:tab/>
        <w:t xml:space="preserve"> </w:t>
      </w:r>
      <w:r w:rsidRPr="00205543">
        <w:rPr>
          <w:sz w:val="24"/>
          <w:szCs w:val="24"/>
        </w:rPr>
        <w:t>Wisznia Architecture + Development</w:t>
      </w:r>
      <w:bookmarkEnd w:id="4"/>
    </w:p>
    <w:p w14:paraId="346DC082" w14:textId="73F6D3B4" w:rsidR="00F715FC" w:rsidRDefault="00F715FC" w:rsidP="00F715FC">
      <w:pPr>
        <w:pStyle w:val="ListParagraph"/>
        <w:spacing w:after="0"/>
        <w:ind w:left="0"/>
        <w:rPr>
          <w:sz w:val="24"/>
          <w:szCs w:val="24"/>
        </w:rPr>
      </w:pPr>
    </w:p>
    <w:p w14:paraId="311918B7" w14:textId="58A4A6E9" w:rsidR="00F715FC" w:rsidRPr="00ED6082" w:rsidRDefault="00F715FC" w:rsidP="00F715FC">
      <w:pPr>
        <w:pStyle w:val="ListParagraph"/>
        <w:spacing w:after="0"/>
        <w:ind w:left="0"/>
        <w:rPr>
          <w:sz w:val="24"/>
          <w:szCs w:val="24"/>
        </w:rPr>
      </w:pPr>
    </w:p>
    <w:p w14:paraId="20437995" w14:textId="5E8D8AD9" w:rsidR="00F715FC" w:rsidRDefault="00F715FC">
      <w:pPr>
        <w:rPr>
          <w:sz w:val="24"/>
          <w:szCs w:val="24"/>
        </w:rPr>
      </w:pPr>
    </w:p>
    <w:p w14:paraId="625ABEE5" w14:textId="77777777" w:rsidR="00905A8B" w:rsidRDefault="00905A8B">
      <w:pPr>
        <w:rPr>
          <w:sz w:val="24"/>
          <w:szCs w:val="24"/>
        </w:rPr>
      </w:pPr>
    </w:p>
    <w:p w14:paraId="1567C573" w14:textId="62739630" w:rsidR="00F715FC" w:rsidRDefault="00F715FC">
      <w:pPr>
        <w:rPr>
          <w:sz w:val="24"/>
          <w:szCs w:val="24"/>
        </w:rPr>
      </w:pPr>
      <w:r>
        <w:rPr>
          <w:sz w:val="24"/>
          <w:szCs w:val="24"/>
        </w:rPr>
        <w:br w:type="page"/>
      </w:r>
      <w:r>
        <w:rPr>
          <w:noProof/>
          <w:sz w:val="24"/>
          <w:szCs w:val="24"/>
        </w:rPr>
        <w:lastRenderedPageBreak/>
        <w:drawing>
          <wp:inline distT="0" distB="0" distL="0" distR="0" wp14:anchorId="0958DF76" wp14:editId="400F21F5">
            <wp:extent cx="5497736" cy="7409610"/>
            <wp:effectExtent l="0" t="0" r="825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AD-LetterOfSupportP2.GIF"/>
                    <pic:cNvPicPr/>
                  </pic:nvPicPr>
                  <pic:blipFill>
                    <a:blip r:embed="rId9">
                      <a:extLst>
                        <a:ext uri="{28A0092B-C50C-407E-A947-70E740481C1C}">
                          <a14:useLocalDpi xmlns:a14="http://schemas.microsoft.com/office/drawing/2010/main" val="0"/>
                        </a:ext>
                      </a:extLst>
                    </a:blip>
                    <a:stretch>
                      <a:fillRect/>
                    </a:stretch>
                  </pic:blipFill>
                  <pic:spPr>
                    <a:xfrm>
                      <a:off x="0" y="0"/>
                      <a:ext cx="5509086" cy="7424907"/>
                    </a:xfrm>
                    <a:prstGeom prst="rect">
                      <a:avLst/>
                    </a:prstGeom>
                  </pic:spPr>
                </pic:pic>
              </a:graphicData>
            </a:graphic>
          </wp:inline>
        </w:drawing>
      </w:r>
    </w:p>
    <w:p w14:paraId="03C1608A" w14:textId="77777777" w:rsidR="006A7F30" w:rsidRDefault="006A7F30" w:rsidP="009D75B1">
      <w:pPr>
        <w:pStyle w:val="Heading1"/>
        <w:rPr>
          <w:sz w:val="24"/>
          <w:szCs w:val="24"/>
        </w:rPr>
      </w:pPr>
    </w:p>
    <w:p w14:paraId="0AC0716A" w14:textId="3FE67AB9" w:rsidR="009D75B1" w:rsidRPr="00774431" w:rsidRDefault="006A7F30" w:rsidP="009D75B1">
      <w:pPr>
        <w:pStyle w:val="Heading1"/>
        <w:rPr>
          <w:sz w:val="24"/>
          <w:szCs w:val="24"/>
        </w:rPr>
      </w:pPr>
      <w:bookmarkStart w:id="5" w:name="_Toc428849574"/>
      <w:r w:rsidRPr="00774431">
        <w:rPr>
          <w:noProof/>
          <w:sz w:val="24"/>
          <w:szCs w:val="24"/>
        </w:rPr>
        <w:drawing>
          <wp:anchor distT="0" distB="0" distL="114300" distR="114300" simplePos="0" relativeHeight="251679744" behindDoc="1" locked="0" layoutInCell="1" allowOverlap="1" wp14:anchorId="35787455" wp14:editId="58D6A4A3">
            <wp:simplePos x="0" y="0"/>
            <wp:positionH relativeFrom="margin">
              <wp:align>right</wp:align>
            </wp:positionH>
            <wp:positionV relativeFrom="paragraph">
              <wp:posOffset>143436</wp:posOffset>
            </wp:positionV>
            <wp:extent cx="5943600" cy="78416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RI-LetterOfSupportP1.GIF"/>
                    <pic:cNvPicPr/>
                  </pic:nvPicPr>
                  <pic:blipFill>
                    <a:blip r:embed="rId10">
                      <a:extLst>
                        <a:ext uri="{28A0092B-C50C-407E-A947-70E740481C1C}">
                          <a14:useLocalDpi xmlns:a14="http://schemas.microsoft.com/office/drawing/2010/main" val="0"/>
                        </a:ext>
                      </a:extLst>
                    </a:blip>
                    <a:stretch>
                      <a:fillRect/>
                    </a:stretch>
                  </pic:blipFill>
                  <pic:spPr>
                    <a:xfrm>
                      <a:off x="0" y="0"/>
                      <a:ext cx="5943600" cy="7841615"/>
                    </a:xfrm>
                    <a:prstGeom prst="rect">
                      <a:avLst/>
                    </a:prstGeom>
                  </pic:spPr>
                </pic:pic>
              </a:graphicData>
            </a:graphic>
            <wp14:sizeRelH relativeFrom="page">
              <wp14:pctWidth>0</wp14:pctWidth>
            </wp14:sizeRelH>
            <wp14:sizeRelV relativeFrom="page">
              <wp14:pctHeight>0</wp14:pctHeight>
            </wp14:sizeRelV>
          </wp:anchor>
        </w:drawing>
      </w:r>
      <w:r w:rsidR="009D75B1" w:rsidRPr="00774431">
        <w:rPr>
          <w:sz w:val="24"/>
          <w:szCs w:val="24"/>
        </w:rPr>
        <w:t xml:space="preserve">Appendix </w:t>
      </w:r>
      <w:r w:rsidR="00774431">
        <w:rPr>
          <w:sz w:val="24"/>
          <w:szCs w:val="24"/>
        </w:rPr>
        <w:t>F</w:t>
      </w:r>
      <w:r w:rsidR="009D75B1" w:rsidRPr="00774431">
        <w:rPr>
          <w:sz w:val="24"/>
          <w:szCs w:val="24"/>
        </w:rPr>
        <w:t xml:space="preserve">   —   </w:t>
      </w:r>
      <w:r w:rsidR="00E13D8B" w:rsidRPr="00774431">
        <w:rPr>
          <w:caps w:val="0"/>
          <w:sz w:val="24"/>
          <w:szCs w:val="24"/>
        </w:rPr>
        <w:t>Letter of Support</w:t>
      </w:r>
      <w:r w:rsidR="00E13D8B" w:rsidRPr="00774431">
        <w:rPr>
          <w:sz w:val="24"/>
          <w:szCs w:val="24"/>
        </w:rPr>
        <w:t xml:space="preserve">    —</w:t>
      </w:r>
      <w:r w:rsidR="00E13D8B" w:rsidRPr="00774431">
        <w:rPr>
          <w:sz w:val="24"/>
          <w:szCs w:val="24"/>
        </w:rPr>
        <w:tab/>
      </w:r>
      <w:r w:rsidR="00E13D8B" w:rsidRPr="00774431">
        <w:rPr>
          <w:sz w:val="24"/>
          <w:szCs w:val="24"/>
        </w:rPr>
        <w:tab/>
      </w:r>
      <w:r w:rsidR="00E13D8B" w:rsidRPr="00774431">
        <w:rPr>
          <w:sz w:val="24"/>
          <w:szCs w:val="24"/>
        </w:rPr>
        <w:tab/>
      </w:r>
      <w:r w:rsidR="00E13D8B" w:rsidRPr="00774431">
        <w:rPr>
          <w:sz w:val="24"/>
          <w:szCs w:val="24"/>
        </w:rPr>
        <w:tab/>
        <w:t xml:space="preserve">   </w:t>
      </w:r>
      <w:r w:rsidR="009D75B1" w:rsidRPr="00774431">
        <w:rPr>
          <w:sz w:val="24"/>
          <w:szCs w:val="24"/>
        </w:rPr>
        <w:t xml:space="preserve">HRI </w:t>
      </w:r>
      <w:r w:rsidR="00E13D8B" w:rsidRPr="00774431">
        <w:rPr>
          <w:caps w:val="0"/>
          <w:sz w:val="24"/>
          <w:szCs w:val="24"/>
        </w:rPr>
        <w:t>Properties</w:t>
      </w:r>
      <w:bookmarkEnd w:id="5"/>
      <w:r w:rsidR="009D75B1" w:rsidRPr="00774431">
        <w:rPr>
          <w:sz w:val="24"/>
          <w:szCs w:val="24"/>
        </w:rPr>
        <w:br w:type="page"/>
      </w:r>
    </w:p>
    <w:p w14:paraId="1D5FB232" w14:textId="375F97FA" w:rsidR="00774431" w:rsidRDefault="00774431" w:rsidP="00905A8B">
      <w:pPr>
        <w:pStyle w:val="Heading1"/>
        <w:rPr>
          <w:sz w:val="24"/>
          <w:szCs w:val="24"/>
        </w:rPr>
      </w:pPr>
      <w:bookmarkStart w:id="6" w:name="_Toc428849575"/>
      <w:r>
        <w:rPr>
          <w:caps w:val="0"/>
          <w:sz w:val="24"/>
          <w:szCs w:val="24"/>
        </w:rPr>
        <w:lastRenderedPageBreak/>
        <w:t xml:space="preserve">Appendix G  </w:t>
      </w:r>
      <w:r w:rsidR="00205543">
        <w:rPr>
          <w:caps w:val="0"/>
          <w:sz w:val="24"/>
          <w:szCs w:val="24"/>
        </w:rPr>
        <w:t xml:space="preserve"> </w:t>
      </w:r>
      <w:r>
        <w:rPr>
          <w:caps w:val="0"/>
          <w:sz w:val="24"/>
          <w:szCs w:val="24"/>
        </w:rPr>
        <w:t xml:space="preserve">— </w:t>
      </w:r>
      <w:r w:rsidR="00205543">
        <w:rPr>
          <w:caps w:val="0"/>
          <w:sz w:val="24"/>
          <w:szCs w:val="24"/>
        </w:rPr>
        <w:t xml:space="preserve"> </w:t>
      </w:r>
      <w:r w:rsidR="00AD4388">
        <w:rPr>
          <w:caps w:val="0"/>
          <w:sz w:val="24"/>
          <w:szCs w:val="24"/>
        </w:rPr>
        <w:t xml:space="preserve"> </w:t>
      </w:r>
      <w:r>
        <w:rPr>
          <w:caps w:val="0"/>
          <w:sz w:val="24"/>
          <w:szCs w:val="24"/>
        </w:rPr>
        <w:t>Inverted Demand Com</w:t>
      </w:r>
      <w:r w:rsidR="00205543">
        <w:rPr>
          <w:caps w:val="0"/>
          <w:sz w:val="24"/>
          <w:szCs w:val="24"/>
        </w:rPr>
        <w:t>pliant Construction —</w:t>
      </w:r>
      <w:r>
        <w:rPr>
          <w:caps w:val="0"/>
          <w:sz w:val="24"/>
          <w:szCs w:val="24"/>
        </w:rPr>
        <w:t xml:space="preserve"> A Key to a </w:t>
      </w:r>
      <w:r w:rsidR="007F10C3">
        <w:rPr>
          <w:caps w:val="0"/>
          <w:sz w:val="24"/>
          <w:szCs w:val="24"/>
        </w:rPr>
        <w:t>Renewable</w:t>
      </w:r>
      <w:r>
        <w:rPr>
          <w:caps w:val="0"/>
          <w:sz w:val="24"/>
          <w:szCs w:val="24"/>
        </w:rPr>
        <w:t xml:space="preserve"> Energy Future</w:t>
      </w:r>
      <w:bookmarkEnd w:id="6"/>
    </w:p>
    <w:p w14:paraId="2858C683" w14:textId="77777777" w:rsidR="00E702A6" w:rsidRDefault="00E702A6" w:rsidP="00DC3CFE">
      <w:pPr>
        <w:rPr>
          <w:sz w:val="24"/>
          <w:szCs w:val="24"/>
        </w:rPr>
      </w:pPr>
    </w:p>
    <w:p w14:paraId="5437AB8B" w14:textId="4203E68A" w:rsidR="00E702A6" w:rsidRDefault="00E702A6" w:rsidP="00DC3CFE">
      <w:pPr>
        <w:rPr>
          <w:sz w:val="24"/>
          <w:szCs w:val="24"/>
        </w:rPr>
      </w:pPr>
      <w:r w:rsidRPr="00E702A6">
        <w:rPr>
          <w:sz w:val="24"/>
          <w:szCs w:val="24"/>
        </w:rPr>
        <w:t>https://www.dropbox.com/sh/8583a6d9udm954v/AADl_4oznkirNiJGo9UbW8dJa?dl=0</w:t>
      </w:r>
    </w:p>
    <w:p w14:paraId="588B7CC8" w14:textId="77777777" w:rsidR="00BC743F" w:rsidRDefault="00BC743F">
      <w:pPr>
        <w:rPr>
          <w:sz w:val="24"/>
          <w:szCs w:val="24"/>
        </w:rPr>
      </w:pPr>
      <w:bookmarkStart w:id="7" w:name="_Toc428849576"/>
      <w:r>
        <w:rPr>
          <w:sz w:val="24"/>
          <w:szCs w:val="24"/>
        </w:rPr>
        <w:br w:type="page"/>
      </w:r>
    </w:p>
    <w:p w14:paraId="3CD366ED" w14:textId="58A8A33F" w:rsidR="00DC3CFE" w:rsidRPr="00293527" w:rsidRDefault="00DC3CFE" w:rsidP="00293527">
      <w:pPr>
        <w:rPr>
          <w:caps/>
          <w:sz w:val="24"/>
          <w:szCs w:val="24"/>
        </w:rPr>
      </w:pPr>
      <w:r>
        <w:rPr>
          <w:sz w:val="24"/>
          <w:szCs w:val="24"/>
        </w:rPr>
        <w:lastRenderedPageBreak/>
        <w:t>Endnotes</w:t>
      </w:r>
      <w:bookmarkEnd w:id="7"/>
      <w:r>
        <w:rPr>
          <w:sz w:val="24"/>
          <w:szCs w:val="24"/>
        </w:rPr>
        <w:t xml:space="preserve"> </w:t>
      </w:r>
    </w:p>
    <w:sectPr w:rsidR="00DC3CFE" w:rsidRPr="00293527" w:rsidSect="00F14CD7">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933B" w14:textId="77777777" w:rsidR="00D64F4D" w:rsidRDefault="00D64F4D" w:rsidP="00424CD2">
      <w:pPr>
        <w:spacing w:after="0" w:line="240" w:lineRule="auto"/>
      </w:pPr>
      <w:r>
        <w:separator/>
      </w:r>
    </w:p>
  </w:endnote>
  <w:endnote w:type="continuationSeparator" w:id="0">
    <w:p w14:paraId="17A66DC2" w14:textId="77777777" w:rsidR="00D64F4D" w:rsidRDefault="00D64F4D" w:rsidP="00424CD2">
      <w:pPr>
        <w:spacing w:after="0" w:line="240" w:lineRule="auto"/>
      </w:pPr>
      <w:r>
        <w:continuationSeparator/>
      </w:r>
    </w:p>
  </w:endnote>
  <w:endnote w:id="1">
    <w:p w14:paraId="269EA057" w14:textId="77777777" w:rsidR="007E481E" w:rsidRPr="00BC743F" w:rsidRDefault="007E481E" w:rsidP="005C0080">
      <w:pPr>
        <w:spacing w:after="0" w:line="240" w:lineRule="auto"/>
        <w:jc w:val="left"/>
        <w:rPr>
          <w:sz w:val="18"/>
          <w:szCs w:val="18"/>
        </w:rPr>
      </w:pPr>
      <w:r w:rsidRPr="00BC743F">
        <w:rPr>
          <w:rStyle w:val="EndnoteReference"/>
          <w:sz w:val="18"/>
          <w:szCs w:val="18"/>
        </w:rPr>
        <w:endnoteRef/>
      </w:r>
      <w:r w:rsidRPr="00BC743F">
        <w:rPr>
          <w:sz w:val="18"/>
          <w:szCs w:val="18"/>
        </w:rPr>
        <w:t xml:space="preserve"> </w:t>
      </w:r>
      <w:r w:rsidRPr="00BC743F">
        <w:rPr>
          <w:rFonts w:eastAsia="Times New Roman" w:cs="Times New Roman"/>
          <w:color w:val="0070C0"/>
          <w:sz w:val="18"/>
          <w:szCs w:val="18"/>
        </w:rPr>
        <w:t xml:space="preserve">BSI, LLC, 302 Walnut St, New Orleans, La 70118, 504-343-1243, </w:t>
      </w:r>
      <w:hyperlink r:id="rId1" w:history="1">
        <w:r w:rsidRPr="00BC743F">
          <w:rPr>
            <w:rStyle w:val="Hyperlink"/>
            <w:rFonts w:eastAsia="Times New Roman" w:cs="Times New Roman"/>
            <w:sz w:val="18"/>
            <w:szCs w:val="18"/>
          </w:rPr>
          <w:t>Myron.Katz@EnergyRater.com</w:t>
        </w:r>
      </w:hyperlink>
    </w:p>
  </w:endnote>
  <w:endnote w:id="2">
    <w:p w14:paraId="2E79F236" w14:textId="77777777" w:rsidR="007E481E" w:rsidRPr="00BC743F" w:rsidRDefault="007E481E" w:rsidP="005C0080">
      <w:pPr>
        <w:pStyle w:val="ListParagraph"/>
        <w:spacing w:after="0" w:line="240" w:lineRule="auto"/>
        <w:ind w:left="0"/>
        <w:jc w:val="left"/>
        <w:rPr>
          <w:sz w:val="18"/>
          <w:szCs w:val="18"/>
        </w:rPr>
      </w:pPr>
      <w:r w:rsidRPr="00BC743F">
        <w:rPr>
          <w:rStyle w:val="EndnoteReference"/>
          <w:sz w:val="18"/>
          <w:szCs w:val="18"/>
        </w:rPr>
        <w:endnoteRef/>
      </w:r>
      <w:r w:rsidRPr="00BC743F">
        <w:rPr>
          <w:sz w:val="18"/>
          <w:szCs w:val="18"/>
        </w:rPr>
        <w:t xml:space="preserve"> These comments were written by Myron Katz.   By far, the biggest content and editorial help was provided by Thomas Milliner.  Valuable review assistance was provided by Jaye Hakes, Eli Oppenheimer, Dan Weiner and Norman Witriol.  Editorial assistance was also provided by Sharon Katz.</w:t>
      </w:r>
    </w:p>
  </w:endnote>
  <w:endnote w:id="3">
    <w:p w14:paraId="174DDBD5" w14:textId="73594EA6" w:rsidR="007E481E" w:rsidRPr="00BC743F" w:rsidRDefault="007E481E" w:rsidP="005C0080">
      <w:pPr>
        <w:pStyle w:val="EndnoteText"/>
        <w:jc w:val="left"/>
        <w:rPr>
          <w:sz w:val="18"/>
          <w:szCs w:val="18"/>
        </w:rPr>
      </w:pPr>
      <w:r w:rsidRPr="00BC743F">
        <w:rPr>
          <w:rStyle w:val="EndnoteReference"/>
          <w:sz w:val="18"/>
          <w:szCs w:val="18"/>
        </w:rPr>
        <w:endnoteRef/>
      </w:r>
      <w:r w:rsidRPr="00BC743F">
        <w:rPr>
          <w:sz w:val="18"/>
          <w:szCs w:val="18"/>
        </w:rPr>
        <w:t xml:space="preserve"> This document references “Inverted Demand Compliant Construction, a Key to a </w:t>
      </w:r>
      <w:r w:rsidR="00BC743F">
        <w:rPr>
          <w:sz w:val="18"/>
          <w:szCs w:val="18"/>
        </w:rPr>
        <w:t>Renewable</w:t>
      </w:r>
      <w:bookmarkStart w:id="1" w:name="_GoBack"/>
      <w:bookmarkEnd w:id="1"/>
      <w:r w:rsidRPr="00BC743F">
        <w:rPr>
          <w:sz w:val="18"/>
          <w:szCs w:val="18"/>
        </w:rPr>
        <w:t xml:space="preserve"> Energy Future,” a presentation by BSI at EEBA’s September 2014 national conference, “The Energy Hawk”, published i</w:t>
      </w:r>
      <w:r w:rsidRPr="00BC743F">
        <w:rPr>
          <w:color w:val="4472C4" w:themeColor="accent5"/>
          <w:sz w:val="18"/>
          <w:szCs w:val="18"/>
        </w:rPr>
        <w:t xml:space="preserve">n 2007 </w:t>
      </w:r>
      <w:r w:rsidRPr="00BC743F">
        <w:rPr>
          <w:sz w:val="18"/>
          <w:szCs w:val="18"/>
        </w:rPr>
        <w:t>by the New Orleans Energy Policy Task Force, as well as cited references.</w:t>
      </w:r>
      <w:r w:rsidRPr="00BC743F">
        <w:rPr>
          <w:i/>
          <w:sz w:val="18"/>
          <w:szCs w:val="18"/>
        </w:rPr>
        <w:t xml:space="preserve">  </w:t>
      </w:r>
    </w:p>
  </w:endnote>
  <w:endnote w:id="4">
    <w:p w14:paraId="3794326B" w14:textId="176D1826" w:rsidR="007E481E" w:rsidRPr="00BC743F" w:rsidRDefault="007E481E" w:rsidP="002B286D">
      <w:pPr>
        <w:pStyle w:val="EndnoteText"/>
        <w:rPr>
          <w:sz w:val="18"/>
          <w:szCs w:val="18"/>
        </w:rPr>
      </w:pPr>
      <w:r w:rsidRPr="00BC743F">
        <w:rPr>
          <w:rStyle w:val="EndnoteReference"/>
          <w:sz w:val="18"/>
          <w:szCs w:val="18"/>
        </w:rPr>
        <w:endnoteRef/>
      </w:r>
      <w:r w:rsidR="00973DB2" w:rsidRPr="00BC743F">
        <w:rPr>
          <w:sz w:val="18"/>
          <w:szCs w:val="18"/>
        </w:rPr>
        <w:t xml:space="preserve"> </w:t>
      </w:r>
      <w:r w:rsidRPr="00BC743F">
        <w:rPr>
          <w:sz w:val="18"/>
          <w:szCs w:val="18"/>
        </w:rPr>
        <w:t>Email communication between Casey DeMoss and Timothy Cragin, August 26, 2015 and August 31, 2015.</w:t>
      </w:r>
    </w:p>
  </w:endnote>
  <w:endnote w:id="5">
    <w:p w14:paraId="20F74888" w14:textId="77777777" w:rsidR="007E481E" w:rsidRPr="00BC743F" w:rsidRDefault="007E481E" w:rsidP="005C0080">
      <w:pPr>
        <w:pStyle w:val="EndnoteText"/>
        <w:jc w:val="left"/>
        <w:rPr>
          <w:sz w:val="18"/>
          <w:szCs w:val="18"/>
        </w:rPr>
      </w:pPr>
      <w:r w:rsidRPr="00BC743F">
        <w:rPr>
          <w:rStyle w:val="EndnoteReference"/>
          <w:sz w:val="18"/>
          <w:szCs w:val="18"/>
        </w:rPr>
        <w:endnoteRef/>
      </w:r>
      <w:r w:rsidRPr="00BC743F">
        <w:rPr>
          <w:sz w:val="18"/>
          <w:szCs w:val="18"/>
        </w:rPr>
        <w:t xml:space="preserve"> </w:t>
      </w:r>
      <w:r w:rsidRPr="00BC743F">
        <w:rPr>
          <w:rStyle w:val="ms-sitemapdirectional"/>
          <w:color w:val="0066CC"/>
          <w:sz w:val="18"/>
          <w:szCs w:val="18"/>
        </w:rPr>
        <w:t>Zonal Reserve Credits are interests in otherwise under-committed generating capacity that can be purchased from other MISO entities to avoid this problem.</w:t>
      </w:r>
    </w:p>
  </w:endnote>
  <w:endnote w:id="6">
    <w:p w14:paraId="49A64E31" w14:textId="77777777" w:rsidR="007E481E" w:rsidRPr="00BC743F" w:rsidRDefault="007E481E" w:rsidP="005C0080">
      <w:pPr>
        <w:pStyle w:val="EndnoteText"/>
        <w:jc w:val="left"/>
        <w:rPr>
          <w:sz w:val="18"/>
          <w:szCs w:val="18"/>
        </w:rPr>
      </w:pPr>
      <w:r w:rsidRPr="00BC743F">
        <w:rPr>
          <w:rStyle w:val="EndnoteReference"/>
          <w:sz w:val="18"/>
          <w:szCs w:val="18"/>
        </w:rPr>
        <w:endnoteRef/>
      </w:r>
      <w:r w:rsidRPr="00BC743F">
        <w:rPr>
          <w:sz w:val="18"/>
          <w:szCs w:val="18"/>
        </w:rPr>
        <w:t xml:space="preserve"> </w:t>
      </w:r>
      <w:hyperlink r:id="rId2" w:history="1">
        <w:r w:rsidRPr="00BC743F">
          <w:rPr>
            <w:rStyle w:val="Hyperlink"/>
            <w:sz w:val="18"/>
            <w:szCs w:val="18"/>
          </w:rPr>
          <w:t>https://www.tep.com/doc/planning/2014-TEP-IRP.pdf</w:t>
        </w:r>
      </w:hyperlink>
      <w:r w:rsidRPr="00BC743F">
        <w:rPr>
          <w:sz w:val="18"/>
          <w:szCs w:val="18"/>
        </w:rPr>
        <w:t>, page 197.</w:t>
      </w:r>
    </w:p>
  </w:endnote>
  <w:endnote w:id="7">
    <w:p w14:paraId="4C8B0047"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w:t>
      </w:r>
      <w:hyperlink r:id="rId3" w:history="1">
        <w:r w:rsidRPr="00BC743F">
          <w:rPr>
            <w:rStyle w:val="Hyperlink"/>
            <w:sz w:val="18"/>
            <w:szCs w:val="18"/>
          </w:rPr>
          <w:t>https://www.tep.com/doc/planning/2014-TEP-IRP.pdf</w:t>
        </w:r>
      </w:hyperlink>
      <w:r w:rsidRPr="00BC743F">
        <w:rPr>
          <w:sz w:val="18"/>
          <w:szCs w:val="18"/>
        </w:rPr>
        <w:t xml:space="preserve">  TEP’s 2014 IRP predicts a 40 MW drop in peak demand from their energy efficiency program every year until 2020.  Why? Because the state of Arizona mandated it.</w:t>
      </w:r>
    </w:p>
  </w:endnote>
  <w:endnote w:id="8">
    <w:p w14:paraId="0B968940"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In a private communication on August 12, 2014, Joananne Bauchman, </w:t>
      </w:r>
      <w:r w:rsidRPr="00BC743F">
        <w:rPr>
          <w:spacing w:val="8"/>
          <w:sz w:val="18"/>
          <w:szCs w:val="18"/>
          <w:shd w:val="clear" w:color="auto" w:fill="FFFFFF"/>
        </w:rPr>
        <w:t xml:space="preserve">Business Development and Sales Manager of Vermont Energy Investment Corporation, expressed her opinion that classical DSM artificially separates — allowing rebates for in energy efficiency investments but not for solar or batteries; that is why DSM is renamed in NY. </w:t>
      </w:r>
    </w:p>
  </w:endnote>
  <w:endnote w:id="9">
    <w:p w14:paraId="291C0D7B"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w:t>
      </w:r>
      <w:r w:rsidRPr="00BC743F">
        <w:rPr>
          <w:rFonts w:cs="Helvetica"/>
          <w:color w:val="000000" w:themeColor="text1"/>
          <w:sz w:val="18"/>
          <w:szCs w:val="18"/>
          <w:shd w:val="clear" w:color="auto" w:fill="F2F7F7"/>
        </w:rPr>
        <w:t>Demand response (also known as load response) is a temporary reduction to the electricity usage in response to power grid needs or shifting the electricity usage during periods of peak demand or other grid constraints. </w:t>
      </w:r>
    </w:p>
  </w:endnote>
  <w:endnote w:id="10">
    <w:p w14:paraId="343DE81F"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This helps to generate a desire for smart meters and a back-up means of quality control for rebates.</w:t>
      </w:r>
    </w:p>
  </w:endnote>
  <w:endnote w:id="11">
    <w:p w14:paraId="45FECF31"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w:t>
      </w:r>
      <w:hyperlink r:id="rId4" w:history="1">
        <w:r w:rsidRPr="00BC743F">
          <w:rPr>
            <w:rStyle w:val="Hyperlink"/>
            <w:sz w:val="18"/>
            <w:szCs w:val="18"/>
          </w:rPr>
          <w:t>https://q9u5x5a2.ssl.hwcdn.net/-/Media/Missouri-Site/Files/environment/renewables/irp/irp-chapter8.pdf?la=en</w:t>
        </w:r>
      </w:hyperlink>
      <w:r w:rsidRPr="00BC743F">
        <w:rPr>
          <w:sz w:val="18"/>
          <w:szCs w:val="18"/>
        </w:rPr>
        <w:t xml:space="preserve">, page 75. </w:t>
      </w:r>
    </w:p>
  </w:endnote>
  <w:endnote w:id="12">
    <w:p w14:paraId="5B5F7426"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This does not need to create an </w:t>
      </w:r>
      <w:r w:rsidRPr="00BC743F">
        <w:rPr>
          <w:i/>
          <w:sz w:val="18"/>
          <w:szCs w:val="18"/>
        </w:rPr>
        <w:t>increase</w:t>
      </w:r>
      <w:r w:rsidRPr="00BC743F">
        <w:rPr>
          <w:sz w:val="18"/>
          <w:szCs w:val="18"/>
        </w:rPr>
        <w:t xml:space="preserve"> in demand charge because some buildings like churches will see a drop in this charge; conversely, some homes that operate like a commercial building should be required to pay this fee.</w:t>
      </w:r>
    </w:p>
  </w:endnote>
  <w:endnote w:id="13">
    <w:p w14:paraId="77F7BE7A"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California’s utilities commonly have this discount. — Private communication, B Ward, Solar City executive, 8/15.</w:t>
      </w:r>
    </w:p>
  </w:endnote>
  <w:endnote w:id="14">
    <w:p w14:paraId="76534501"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Washington D.C.’s utility </w:t>
      </w:r>
      <w:r w:rsidRPr="00BC743F">
        <w:rPr>
          <w:color w:val="000000" w:themeColor="text1"/>
          <w:sz w:val="18"/>
          <w:szCs w:val="18"/>
        </w:rPr>
        <w:t xml:space="preserve">regulator applied this approach for </w:t>
      </w:r>
      <w:r w:rsidRPr="00BC743F">
        <w:rPr>
          <w:sz w:val="18"/>
          <w:szCs w:val="18"/>
        </w:rPr>
        <w:t>solving the non-participant test for solar farms.</w:t>
      </w:r>
    </w:p>
  </w:endnote>
  <w:endnote w:id="15">
    <w:p w14:paraId="738B2CC6"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Why reinvent the wheel?  RESNET’s rating providers are required by their industry to provide quality control.</w:t>
      </w:r>
    </w:p>
  </w:endnote>
  <w:endnote w:id="16">
    <w:p w14:paraId="3D419A0C" w14:textId="03E8801B"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BSI believes that performance-based rebates can easily outperform price-based if there is good quality control.</w:t>
      </w:r>
    </w:p>
  </w:endnote>
  <w:endnote w:id="17">
    <w:p w14:paraId="18BF8A6A" w14:textId="3CB8701B"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$1.5/W was chosen because the </w:t>
      </w:r>
      <w:r w:rsidRPr="00BC743F">
        <w:rPr>
          <w:i/>
          <w:sz w:val="18"/>
          <w:szCs w:val="18"/>
        </w:rPr>
        <w:t>BSI Critique</w:t>
      </w:r>
      <w:r w:rsidRPr="00BC743F">
        <w:rPr>
          <w:sz w:val="18"/>
          <w:szCs w:val="18"/>
        </w:rPr>
        <w:t xml:space="preserve"> showed that ENO has been paying $1/W for DSM but is willing to pay $5/W for a plausible PV system in its IRP; the PV system was picked as most economical in one scenario.</w:t>
      </w:r>
    </w:p>
  </w:endnote>
  <w:endnote w:id="18">
    <w:p w14:paraId="072DC600"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w:t>
      </w:r>
      <w:hyperlink r:id="rId5" w:history="1">
        <w:r w:rsidRPr="00BC743F">
          <w:rPr>
            <w:rStyle w:val="Hyperlink"/>
            <w:sz w:val="18"/>
            <w:szCs w:val="18"/>
          </w:rPr>
          <w:t>https://en.wikipedia.org/wiki/White_certificates</w:t>
        </w:r>
      </w:hyperlink>
      <w:r w:rsidRPr="00BC743F">
        <w:rPr>
          <w:color w:val="000000" w:themeColor="text1"/>
          <w:sz w:val="18"/>
          <w:szCs w:val="18"/>
        </w:rPr>
        <w:t>; some regulators require their IOU’s to buy and trade WC’s.</w:t>
      </w:r>
    </w:p>
  </w:endnote>
  <w:endnote w:id="19">
    <w:p w14:paraId="0211980A"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By demanding a minimum 10% reduction in consumption, </w:t>
      </w:r>
      <w:r w:rsidRPr="00BC743F">
        <w:rPr>
          <w:i/>
          <w:sz w:val="18"/>
          <w:szCs w:val="18"/>
        </w:rPr>
        <w:t>low-hanging fruit</w:t>
      </w:r>
      <w:r w:rsidRPr="00BC743F">
        <w:rPr>
          <w:sz w:val="18"/>
          <w:szCs w:val="18"/>
        </w:rPr>
        <w:t xml:space="preserve"> cannot be the only fruits of success.</w:t>
      </w:r>
    </w:p>
  </w:endnote>
  <w:endnote w:id="20">
    <w:p w14:paraId="78026749" w14:textId="1E3A042A"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This has highest priority; this one should be implemented yesterday, since most solar tax subsidies end in 2016.</w:t>
      </w:r>
    </w:p>
  </w:endnote>
  <w:endnote w:id="21">
    <w:p w14:paraId="0F414972"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w:t>
      </w:r>
      <w:hyperlink r:id="rId6" w:history="1">
        <w:r w:rsidRPr="00BC743F">
          <w:rPr>
            <w:rStyle w:val="Hyperlink"/>
            <w:sz w:val="18"/>
            <w:szCs w:val="18"/>
          </w:rPr>
          <w:t>http://www.epa.gov/greenpower/gpmarket/rec.htm</w:t>
        </w:r>
      </w:hyperlink>
      <w:r w:rsidRPr="00BC743F">
        <w:rPr>
          <w:sz w:val="18"/>
          <w:szCs w:val="18"/>
        </w:rPr>
        <w:t xml:space="preserve">; EPA’s recent </w:t>
      </w:r>
      <w:r w:rsidRPr="00BC743F">
        <w:rPr>
          <w:i/>
          <w:sz w:val="18"/>
          <w:szCs w:val="18"/>
        </w:rPr>
        <w:t>Clean Power Plan</w:t>
      </w:r>
      <w:r w:rsidRPr="00BC743F">
        <w:rPr>
          <w:sz w:val="18"/>
          <w:szCs w:val="18"/>
        </w:rPr>
        <w:t xml:space="preserve"> will make this lucrative.</w:t>
      </w:r>
    </w:p>
  </w:endnote>
  <w:endnote w:id="22">
    <w:p w14:paraId="56AB5070"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BESS can be more cost-effective than PV and has a much greater ↓peak demand potential per dollar invested.</w:t>
      </w:r>
    </w:p>
  </w:endnote>
  <w:endnote w:id="23">
    <w:p w14:paraId="0539B11B"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E.g., putting timers on electric water heater that keep them off between 6 AM and midnight; this is too cheap.</w:t>
      </w:r>
    </w:p>
  </w:endnote>
  <w:endnote w:id="24">
    <w:p w14:paraId="114C192D"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A BESS in a home, sized to provide emergency back-up power for a week, can earn $150/month with this tariff.</w:t>
      </w:r>
    </w:p>
  </w:endnote>
  <w:endnote w:id="25">
    <w:p w14:paraId="2F6E87F3" w14:textId="77777777"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This idea was already implemented in Gainesville, FL for their utility — zero cost and engages the marketplace.</w:t>
      </w:r>
    </w:p>
  </w:endnote>
  <w:endnote w:id="26">
    <w:p w14:paraId="3E623C62" w14:textId="08D94494"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Currently, before Michoud is shut down, ENO buys power from MISO because it is cheaper than making electricity with the low efficiency generators within Michoud.  ENO did not show in its IRP that a healthy contribution of DSM like proposed above could not decrease demand faster than ENO could build a new generator. No convincing evidence shows that ratepayers will be paying less for energy in 2019 (the earliest possible time that a new generator can come on line) with a new generator instead of more investment in DSM.</w:t>
      </w:r>
    </w:p>
  </w:endnote>
  <w:endnote w:id="27">
    <w:p w14:paraId="59B363E7" w14:textId="1D91AADD"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ENO’s IRP did not consider installing batteries to decrease the needed size of the alternative PV system by a factor of four; but it did show that if that PV system capital cost were one-fourth as much as modelled, it would have been deemed the lowest cost alternative in every scenario.  BSI has shown that BESS storage without PV is more cost effective than PV without BESS and BESS added to PV can change the percentage of usable “on peak” output of a PV system from the 25% ENO assumed to two to six times that amount.</w:t>
      </w:r>
    </w:p>
  </w:endnote>
  <w:endnote w:id="28">
    <w:p w14:paraId="520C68C3" w14:textId="1859473F"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Decoupling the incentive for the utility to only make a profit by building new generators is supported by BSI.</w:t>
      </w:r>
    </w:p>
  </w:endnote>
  <w:endnote w:id="29">
    <w:p w14:paraId="411BE47F" w14:textId="63198A74" w:rsidR="007E481E" w:rsidRPr="00BC743F" w:rsidRDefault="007E481E" w:rsidP="00431517">
      <w:pPr>
        <w:pStyle w:val="EndnoteText"/>
        <w:jc w:val="left"/>
        <w:rPr>
          <w:sz w:val="18"/>
          <w:szCs w:val="18"/>
        </w:rPr>
      </w:pPr>
      <w:r w:rsidRPr="00BC743F">
        <w:rPr>
          <w:rStyle w:val="EndnoteReference"/>
          <w:sz w:val="18"/>
          <w:szCs w:val="18"/>
        </w:rPr>
        <w:endnoteRef/>
      </w:r>
      <w:r w:rsidRPr="00BC743F">
        <w:rPr>
          <w:sz w:val="18"/>
          <w:szCs w:val="18"/>
        </w:rPr>
        <w:t xml:space="preserve"> As long as ENO runs the DSM it can be expected to discourage improvements in its effectiveness.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FEB8" w14:textId="56AC0150" w:rsidR="007E481E" w:rsidRDefault="007E481E" w:rsidP="00465BD0">
    <w:pPr>
      <w:rPr>
        <w:sz w:val="18"/>
        <w:szCs w:val="18"/>
      </w:rPr>
    </w:pPr>
    <w:r w:rsidRPr="00C06FA4">
      <w:rPr>
        <w:sz w:val="18"/>
        <w:szCs w:val="18"/>
      </w:rPr>
      <w:t>Building Science Innovators</w:t>
    </w:r>
    <w:r>
      <w:rPr>
        <w:sz w:val="18"/>
        <w:szCs w:val="18"/>
      </w:rPr>
      <w:t xml:space="preserve"> </w:t>
    </w:r>
    <w:r w:rsidRPr="00C06FA4">
      <w:rPr>
        <w:sz w:val="18"/>
        <w:szCs w:val="18"/>
      </w:rPr>
      <w:t>Comment</w:t>
    </w:r>
    <w:r>
      <w:rPr>
        <w:sz w:val="18"/>
        <w:szCs w:val="18"/>
      </w:rPr>
      <w:t>s on ENO’s 2015 Draft IRP</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465BD0">
      <w:rPr>
        <w:sz w:val="18"/>
        <w:szCs w:val="18"/>
      </w:rPr>
      <w:fldChar w:fldCharType="begin"/>
    </w:r>
    <w:r w:rsidRPr="00465BD0">
      <w:rPr>
        <w:sz w:val="18"/>
        <w:szCs w:val="18"/>
      </w:rPr>
      <w:instrText xml:space="preserve"> PAGE   \* MERGEFORMAT </w:instrText>
    </w:r>
    <w:r w:rsidRPr="00465BD0">
      <w:rPr>
        <w:sz w:val="18"/>
        <w:szCs w:val="18"/>
      </w:rPr>
      <w:fldChar w:fldCharType="separate"/>
    </w:r>
    <w:r w:rsidR="00BC743F">
      <w:rPr>
        <w:noProof/>
        <w:sz w:val="18"/>
        <w:szCs w:val="18"/>
      </w:rPr>
      <w:t>13</w:t>
    </w:r>
    <w:r w:rsidRPr="00465BD0">
      <w:rPr>
        <w:noProof/>
        <w:sz w:val="18"/>
        <w:szCs w:val="18"/>
      </w:rPr>
      <w:fldChar w:fldCharType="end"/>
    </w:r>
  </w:p>
  <w:sdt>
    <w:sdtPr>
      <w:rPr>
        <w:sz w:val="18"/>
        <w:szCs w:val="18"/>
      </w:rPr>
      <w:id w:val="-1860502012"/>
      <w:docPartObj>
        <w:docPartGallery w:val="Page Numbers (Bottom of Page)"/>
        <w:docPartUnique/>
      </w:docPartObj>
    </w:sdtPr>
    <w:sdtEndPr>
      <w:rPr>
        <w:noProof/>
        <w:sz w:val="22"/>
        <w:szCs w:val="22"/>
      </w:rPr>
    </w:sdtEndPr>
    <w:sdtContent>
      <w:p w14:paraId="4D849767" w14:textId="5A67D2E2" w:rsidR="007E481E" w:rsidRDefault="007E481E" w:rsidP="00465BD0"/>
      <w:p w14:paraId="2D9EA91C" w14:textId="6F1035A5" w:rsidR="007E481E" w:rsidRDefault="00D64F4D" w:rsidP="00C06FA4">
        <w:pPr>
          <w:pStyle w:val="Footer"/>
          <w:jc w:val="right"/>
        </w:pPr>
      </w:p>
    </w:sdtContent>
  </w:sdt>
  <w:p w14:paraId="63B84008" w14:textId="6DDC0AFE" w:rsidR="007E481E" w:rsidRPr="00C06FA4" w:rsidRDefault="007E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1AA3" w14:textId="77777777" w:rsidR="00D64F4D" w:rsidRDefault="00D64F4D" w:rsidP="00424CD2">
      <w:pPr>
        <w:spacing w:after="0" w:line="240" w:lineRule="auto"/>
      </w:pPr>
      <w:r>
        <w:separator/>
      </w:r>
    </w:p>
  </w:footnote>
  <w:footnote w:type="continuationSeparator" w:id="0">
    <w:p w14:paraId="0CBABF34" w14:textId="77777777" w:rsidR="00D64F4D" w:rsidRDefault="00D64F4D" w:rsidP="00424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B2E"/>
    <w:multiLevelType w:val="hybridMultilevel"/>
    <w:tmpl w:val="7ABA9A3E"/>
    <w:lvl w:ilvl="0" w:tplc="0A187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3424"/>
    <w:multiLevelType w:val="hybridMultilevel"/>
    <w:tmpl w:val="8800F45E"/>
    <w:lvl w:ilvl="0" w:tplc="F5BCF0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52CA"/>
    <w:multiLevelType w:val="hybridMultilevel"/>
    <w:tmpl w:val="B05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3A5F"/>
    <w:multiLevelType w:val="hybridMultilevel"/>
    <w:tmpl w:val="0EC6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6CBF"/>
    <w:multiLevelType w:val="hybridMultilevel"/>
    <w:tmpl w:val="648A7760"/>
    <w:lvl w:ilvl="0" w:tplc="D9064C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70580"/>
    <w:multiLevelType w:val="hybridMultilevel"/>
    <w:tmpl w:val="46CA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85251"/>
    <w:multiLevelType w:val="hybridMultilevel"/>
    <w:tmpl w:val="7CB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C26B1"/>
    <w:multiLevelType w:val="hybridMultilevel"/>
    <w:tmpl w:val="70F87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C632F"/>
    <w:multiLevelType w:val="hybridMultilevel"/>
    <w:tmpl w:val="A2C4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81552"/>
    <w:multiLevelType w:val="hybridMultilevel"/>
    <w:tmpl w:val="205481E0"/>
    <w:lvl w:ilvl="0" w:tplc="CCA43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F85ADB"/>
    <w:multiLevelType w:val="hybridMultilevel"/>
    <w:tmpl w:val="765E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F2B38"/>
    <w:multiLevelType w:val="hybridMultilevel"/>
    <w:tmpl w:val="97BA3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7580F"/>
    <w:multiLevelType w:val="hybridMultilevel"/>
    <w:tmpl w:val="DA1CF55C"/>
    <w:lvl w:ilvl="0" w:tplc="79BEDF9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30409"/>
    <w:multiLevelType w:val="hybridMultilevel"/>
    <w:tmpl w:val="F3629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DA1CC9"/>
    <w:multiLevelType w:val="hybridMultilevel"/>
    <w:tmpl w:val="11567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3D6E36"/>
    <w:multiLevelType w:val="multilevel"/>
    <w:tmpl w:val="998624F4"/>
    <w:lvl w:ilvl="0">
      <w:start w:val="5"/>
      <w:numFmt w:val="decimal"/>
      <w:lvlText w:val="%1"/>
      <w:lvlJc w:val="left"/>
      <w:pPr>
        <w:ind w:left="518" w:hanging="518"/>
      </w:pPr>
      <w:rPr>
        <w:rFonts w:hint="default"/>
      </w:rPr>
    </w:lvl>
    <w:lvl w:ilvl="1">
      <w:start w:val="2"/>
      <w:numFmt w:val="decimal"/>
      <w:lvlText w:val="%1.%2"/>
      <w:lvlJc w:val="left"/>
      <w:pPr>
        <w:ind w:left="518" w:hanging="51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1B4D0B"/>
    <w:multiLevelType w:val="hybridMultilevel"/>
    <w:tmpl w:val="CD501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657FA7"/>
    <w:multiLevelType w:val="hybridMultilevel"/>
    <w:tmpl w:val="0632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B322B"/>
    <w:multiLevelType w:val="hybridMultilevel"/>
    <w:tmpl w:val="369C8A9E"/>
    <w:lvl w:ilvl="0" w:tplc="0C547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505A62"/>
    <w:multiLevelType w:val="hybridMultilevel"/>
    <w:tmpl w:val="4C1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306D8"/>
    <w:multiLevelType w:val="hybridMultilevel"/>
    <w:tmpl w:val="FCEA2658"/>
    <w:lvl w:ilvl="0" w:tplc="676AE9E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17473"/>
    <w:multiLevelType w:val="hybridMultilevel"/>
    <w:tmpl w:val="4C4C555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233E9A"/>
    <w:multiLevelType w:val="hybridMultilevel"/>
    <w:tmpl w:val="C848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92173"/>
    <w:multiLevelType w:val="hybridMultilevel"/>
    <w:tmpl w:val="E23E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52C5E"/>
    <w:multiLevelType w:val="hybridMultilevel"/>
    <w:tmpl w:val="8226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6255F6"/>
    <w:multiLevelType w:val="multilevel"/>
    <w:tmpl w:val="23A00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6C2302"/>
    <w:multiLevelType w:val="hybridMultilevel"/>
    <w:tmpl w:val="5D9C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17388"/>
    <w:multiLevelType w:val="hybridMultilevel"/>
    <w:tmpl w:val="EBF250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B581190"/>
    <w:multiLevelType w:val="hybridMultilevel"/>
    <w:tmpl w:val="028C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439CD"/>
    <w:multiLevelType w:val="hybridMultilevel"/>
    <w:tmpl w:val="FAE0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F59F4"/>
    <w:multiLevelType w:val="hybridMultilevel"/>
    <w:tmpl w:val="52A0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A0441"/>
    <w:multiLevelType w:val="hybridMultilevel"/>
    <w:tmpl w:val="BE38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280C42"/>
    <w:multiLevelType w:val="hybridMultilevel"/>
    <w:tmpl w:val="FFF8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B77CD"/>
    <w:multiLevelType w:val="hybridMultilevel"/>
    <w:tmpl w:val="AA224910"/>
    <w:lvl w:ilvl="0" w:tplc="19E847A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B5F22"/>
    <w:multiLevelType w:val="hybridMultilevel"/>
    <w:tmpl w:val="E6CA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5155A"/>
    <w:multiLevelType w:val="hybridMultilevel"/>
    <w:tmpl w:val="0122D70A"/>
    <w:lvl w:ilvl="0" w:tplc="0A187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D6D2B"/>
    <w:multiLevelType w:val="hybridMultilevel"/>
    <w:tmpl w:val="10BA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43D1A"/>
    <w:multiLevelType w:val="hybridMultilevel"/>
    <w:tmpl w:val="6D4678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EB0ABD"/>
    <w:multiLevelType w:val="hybridMultilevel"/>
    <w:tmpl w:val="56F0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24FEA"/>
    <w:multiLevelType w:val="hybridMultilevel"/>
    <w:tmpl w:val="0DFCB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530FB0"/>
    <w:multiLevelType w:val="hybridMultilevel"/>
    <w:tmpl w:val="319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94C1B"/>
    <w:multiLevelType w:val="hybridMultilevel"/>
    <w:tmpl w:val="D19A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A79A2"/>
    <w:multiLevelType w:val="hybridMultilevel"/>
    <w:tmpl w:val="201C1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885755"/>
    <w:multiLevelType w:val="multilevel"/>
    <w:tmpl w:val="3F4836D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0"/>
  </w:num>
  <w:num w:numId="3">
    <w:abstractNumId w:val="39"/>
  </w:num>
  <w:num w:numId="4">
    <w:abstractNumId w:val="8"/>
  </w:num>
  <w:num w:numId="5">
    <w:abstractNumId w:val="9"/>
  </w:num>
  <w:num w:numId="6">
    <w:abstractNumId w:val="27"/>
  </w:num>
  <w:num w:numId="7">
    <w:abstractNumId w:val="16"/>
  </w:num>
  <w:num w:numId="8">
    <w:abstractNumId w:val="7"/>
  </w:num>
  <w:num w:numId="9">
    <w:abstractNumId w:val="0"/>
  </w:num>
  <w:num w:numId="10">
    <w:abstractNumId w:val="37"/>
  </w:num>
  <w:num w:numId="11">
    <w:abstractNumId w:val="35"/>
  </w:num>
  <w:num w:numId="12">
    <w:abstractNumId w:val="1"/>
  </w:num>
  <w:num w:numId="13">
    <w:abstractNumId w:val="40"/>
  </w:num>
  <w:num w:numId="14">
    <w:abstractNumId w:val="5"/>
  </w:num>
  <w:num w:numId="15">
    <w:abstractNumId w:val="14"/>
  </w:num>
  <w:num w:numId="16">
    <w:abstractNumId w:val="25"/>
  </w:num>
  <w:num w:numId="17">
    <w:abstractNumId w:val="28"/>
  </w:num>
  <w:num w:numId="18">
    <w:abstractNumId w:val="31"/>
  </w:num>
  <w:num w:numId="19">
    <w:abstractNumId w:val="11"/>
  </w:num>
  <w:num w:numId="20">
    <w:abstractNumId w:val="18"/>
  </w:num>
  <w:num w:numId="21">
    <w:abstractNumId w:val="24"/>
  </w:num>
  <w:num w:numId="22">
    <w:abstractNumId w:val="38"/>
  </w:num>
  <w:num w:numId="23">
    <w:abstractNumId w:val="13"/>
  </w:num>
  <w:num w:numId="24">
    <w:abstractNumId w:val="4"/>
  </w:num>
  <w:num w:numId="25">
    <w:abstractNumId w:val="42"/>
  </w:num>
  <w:num w:numId="26">
    <w:abstractNumId w:val="15"/>
  </w:num>
  <w:num w:numId="27">
    <w:abstractNumId w:val="34"/>
  </w:num>
  <w:num w:numId="28">
    <w:abstractNumId w:val="36"/>
  </w:num>
  <w:num w:numId="29">
    <w:abstractNumId w:val="43"/>
  </w:num>
  <w:num w:numId="30">
    <w:abstractNumId w:val="10"/>
  </w:num>
  <w:num w:numId="31">
    <w:abstractNumId w:val="32"/>
  </w:num>
  <w:num w:numId="32">
    <w:abstractNumId w:val="19"/>
  </w:num>
  <w:num w:numId="33">
    <w:abstractNumId w:val="23"/>
  </w:num>
  <w:num w:numId="34">
    <w:abstractNumId w:val="2"/>
  </w:num>
  <w:num w:numId="35">
    <w:abstractNumId w:val="3"/>
  </w:num>
  <w:num w:numId="36">
    <w:abstractNumId w:val="29"/>
  </w:num>
  <w:num w:numId="37">
    <w:abstractNumId w:val="30"/>
  </w:num>
  <w:num w:numId="38">
    <w:abstractNumId w:val="22"/>
  </w:num>
  <w:num w:numId="39">
    <w:abstractNumId w:val="17"/>
  </w:num>
  <w:num w:numId="40">
    <w:abstractNumId w:val="41"/>
  </w:num>
  <w:num w:numId="41">
    <w:abstractNumId w:val="21"/>
  </w:num>
  <w:num w:numId="42">
    <w:abstractNumId w:val="6"/>
  </w:num>
  <w:num w:numId="43">
    <w:abstractNumId w:val="26"/>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BC"/>
    <w:rsid w:val="000017EF"/>
    <w:rsid w:val="00002CD1"/>
    <w:rsid w:val="000057C0"/>
    <w:rsid w:val="000069AA"/>
    <w:rsid w:val="00020207"/>
    <w:rsid w:val="000338BC"/>
    <w:rsid w:val="00044E2D"/>
    <w:rsid w:val="000474CE"/>
    <w:rsid w:val="000514CA"/>
    <w:rsid w:val="000539A0"/>
    <w:rsid w:val="000665FE"/>
    <w:rsid w:val="000708B0"/>
    <w:rsid w:val="000718A2"/>
    <w:rsid w:val="00080858"/>
    <w:rsid w:val="000851F3"/>
    <w:rsid w:val="0009513D"/>
    <w:rsid w:val="000A57A6"/>
    <w:rsid w:val="000A6DE1"/>
    <w:rsid w:val="000C16C4"/>
    <w:rsid w:val="000D172D"/>
    <w:rsid w:val="000E0D8D"/>
    <w:rsid w:val="000E4EEE"/>
    <w:rsid w:val="00104204"/>
    <w:rsid w:val="00106724"/>
    <w:rsid w:val="001070DA"/>
    <w:rsid w:val="00117B69"/>
    <w:rsid w:val="00125992"/>
    <w:rsid w:val="00130454"/>
    <w:rsid w:val="001311DE"/>
    <w:rsid w:val="0014428C"/>
    <w:rsid w:val="00154269"/>
    <w:rsid w:val="001628F0"/>
    <w:rsid w:val="00165DD4"/>
    <w:rsid w:val="00166DEA"/>
    <w:rsid w:val="001707E6"/>
    <w:rsid w:val="00190622"/>
    <w:rsid w:val="00190DA2"/>
    <w:rsid w:val="0019200A"/>
    <w:rsid w:val="00192DCC"/>
    <w:rsid w:val="001958A3"/>
    <w:rsid w:val="001962D7"/>
    <w:rsid w:val="00196389"/>
    <w:rsid w:val="001A4972"/>
    <w:rsid w:val="001A7413"/>
    <w:rsid w:val="001A7FEB"/>
    <w:rsid w:val="001B00D1"/>
    <w:rsid w:val="001B1E13"/>
    <w:rsid w:val="001B6507"/>
    <w:rsid w:val="001C118A"/>
    <w:rsid w:val="001D4DDE"/>
    <w:rsid w:val="001E4A76"/>
    <w:rsid w:val="001F3745"/>
    <w:rsid w:val="001F448F"/>
    <w:rsid w:val="001F48E4"/>
    <w:rsid w:val="00203534"/>
    <w:rsid w:val="00204FCC"/>
    <w:rsid w:val="00205543"/>
    <w:rsid w:val="0020559D"/>
    <w:rsid w:val="00213055"/>
    <w:rsid w:val="00220A9D"/>
    <w:rsid w:val="00222C97"/>
    <w:rsid w:val="002346E1"/>
    <w:rsid w:val="002401DB"/>
    <w:rsid w:val="00247982"/>
    <w:rsid w:val="00247EA5"/>
    <w:rsid w:val="00252095"/>
    <w:rsid w:val="002522FD"/>
    <w:rsid w:val="0027049E"/>
    <w:rsid w:val="002822BC"/>
    <w:rsid w:val="002845F4"/>
    <w:rsid w:val="00286949"/>
    <w:rsid w:val="00293527"/>
    <w:rsid w:val="002A4B42"/>
    <w:rsid w:val="002B0A35"/>
    <w:rsid w:val="002B105F"/>
    <w:rsid w:val="002B286D"/>
    <w:rsid w:val="002B4A95"/>
    <w:rsid w:val="002D6844"/>
    <w:rsid w:val="002E64D7"/>
    <w:rsid w:val="002F6E45"/>
    <w:rsid w:val="002F6FB5"/>
    <w:rsid w:val="003019A2"/>
    <w:rsid w:val="00314B1E"/>
    <w:rsid w:val="003152DF"/>
    <w:rsid w:val="003354A3"/>
    <w:rsid w:val="003537DB"/>
    <w:rsid w:val="00360EC0"/>
    <w:rsid w:val="00367123"/>
    <w:rsid w:val="0038243B"/>
    <w:rsid w:val="003913E0"/>
    <w:rsid w:val="00396D64"/>
    <w:rsid w:val="003A7F8F"/>
    <w:rsid w:val="003B0CF4"/>
    <w:rsid w:val="003B6068"/>
    <w:rsid w:val="003D0899"/>
    <w:rsid w:val="003D2059"/>
    <w:rsid w:val="003D5685"/>
    <w:rsid w:val="003F7987"/>
    <w:rsid w:val="00404955"/>
    <w:rsid w:val="004049A6"/>
    <w:rsid w:val="00404EEF"/>
    <w:rsid w:val="00410D41"/>
    <w:rsid w:val="0041490C"/>
    <w:rsid w:val="004174EB"/>
    <w:rsid w:val="00420962"/>
    <w:rsid w:val="00424CD2"/>
    <w:rsid w:val="00427057"/>
    <w:rsid w:val="004302DD"/>
    <w:rsid w:val="00430C4C"/>
    <w:rsid w:val="00431517"/>
    <w:rsid w:val="00432E73"/>
    <w:rsid w:val="004516D3"/>
    <w:rsid w:val="004535DD"/>
    <w:rsid w:val="00460E60"/>
    <w:rsid w:val="00464205"/>
    <w:rsid w:val="00465BD0"/>
    <w:rsid w:val="004665B6"/>
    <w:rsid w:val="004B6C3E"/>
    <w:rsid w:val="004D68D9"/>
    <w:rsid w:val="004D6B84"/>
    <w:rsid w:val="004F27A4"/>
    <w:rsid w:val="005005A8"/>
    <w:rsid w:val="00500DB9"/>
    <w:rsid w:val="005124C5"/>
    <w:rsid w:val="00514AFC"/>
    <w:rsid w:val="00524C4B"/>
    <w:rsid w:val="00535937"/>
    <w:rsid w:val="00536F9D"/>
    <w:rsid w:val="00540398"/>
    <w:rsid w:val="005419FF"/>
    <w:rsid w:val="0054214D"/>
    <w:rsid w:val="00566A66"/>
    <w:rsid w:val="0057011A"/>
    <w:rsid w:val="005729B5"/>
    <w:rsid w:val="005864FA"/>
    <w:rsid w:val="00586F8E"/>
    <w:rsid w:val="0059383B"/>
    <w:rsid w:val="005A2FB9"/>
    <w:rsid w:val="005A7C2F"/>
    <w:rsid w:val="005C0080"/>
    <w:rsid w:val="005C5712"/>
    <w:rsid w:val="005E4119"/>
    <w:rsid w:val="005F6C7F"/>
    <w:rsid w:val="006022BA"/>
    <w:rsid w:val="00602A5E"/>
    <w:rsid w:val="00606A63"/>
    <w:rsid w:val="0061137E"/>
    <w:rsid w:val="00613AEB"/>
    <w:rsid w:val="00614CB6"/>
    <w:rsid w:val="00625260"/>
    <w:rsid w:val="006328B0"/>
    <w:rsid w:val="00632A00"/>
    <w:rsid w:val="0063785D"/>
    <w:rsid w:val="00641416"/>
    <w:rsid w:val="00646A8C"/>
    <w:rsid w:val="00647B5E"/>
    <w:rsid w:val="00654663"/>
    <w:rsid w:val="006614CF"/>
    <w:rsid w:val="0066269D"/>
    <w:rsid w:val="006736A7"/>
    <w:rsid w:val="00677241"/>
    <w:rsid w:val="00681388"/>
    <w:rsid w:val="0068218D"/>
    <w:rsid w:val="00683B61"/>
    <w:rsid w:val="006A5F1E"/>
    <w:rsid w:val="006A7F30"/>
    <w:rsid w:val="006B108F"/>
    <w:rsid w:val="006B16E3"/>
    <w:rsid w:val="006B4A9C"/>
    <w:rsid w:val="006B56C3"/>
    <w:rsid w:val="006B5E8C"/>
    <w:rsid w:val="006C0D8F"/>
    <w:rsid w:val="006C7D52"/>
    <w:rsid w:val="006D7E08"/>
    <w:rsid w:val="006D7F6B"/>
    <w:rsid w:val="006E1344"/>
    <w:rsid w:val="006E1AF3"/>
    <w:rsid w:val="006E3A57"/>
    <w:rsid w:val="006E6897"/>
    <w:rsid w:val="006F6039"/>
    <w:rsid w:val="006F697F"/>
    <w:rsid w:val="0070388E"/>
    <w:rsid w:val="007041FF"/>
    <w:rsid w:val="00704372"/>
    <w:rsid w:val="00710F5D"/>
    <w:rsid w:val="00744266"/>
    <w:rsid w:val="00745731"/>
    <w:rsid w:val="00752BC9"/>
    <w:rsid w:val="00753613"/>
    <w:rsid w:val="00763570"/>
    <w:rsid w:val="007739C8"/>
    <w:rsid w:val="00774431"/>
    <w:rsid w:val="007755D6"/>
    <w:rsid w:val="007756CF"/>
    <w:rsid w:val="0078382D"/>
    <w:rsid w:val="00786F9E"/>
    <w:rsid w:val="00791D53"/>
    <w:rsid w:val="00795D6C"/>
    <w:rsid w:val="00795F47"/>
    <w:rsid w:val="007A00C4"/>
    <w:rsid w:val="007A39A4"/>
    <w:rsid w:val="007A5165"/>
    <w:rsid w:val="007A58B1"/>
    <w:rsid w:val="007A6ED9"/>
    <w:rsid w:val="007A7555"/>
    <w:rsid w:val="007B0EFE"/>
    <w:rsid w:val="007B781D"/>
    <w:rsid w:val="007C1F03"/>
    <w:rsid w:val="007C5F45"/>
    <w:rsid w:val="007D19DB"/>
    <w:rsid w:val="007D251D"/>
    <w:rsid w:val="007D55E6"/>
    <w:rsid w:val="007E481E"/>
    <w:rsid w:val="007E5A55"/>
    <w:rsid w:val="007F10C3"/>
    <w:rsid w:val="007F3095"/>
    <w:rsid w:val="00812519"/>
    <w:rsid w:val="00813799"/>
    <w:rsid w:val="00820E03"/>
    <w:rsid w:val="00824FDB"/>
    <w:rsid w:val="0083131C"/>
    <w:rsid w:val="008336BD"/>
    <w:rsid w:val="00841074"/>
    <w:rsid w:val="0084266A"/>
    <w:rsid w:val="008536C1"/>
    <w:rsid w:val="00854AF9"/>
    <w:rsid w:val="00855050"/>
    <w:rsid w:val="00866F16"/>
    <w:rsid w:val="00867B57"/>
    <w:rsid w:val="0087541A"/>
    <w:rsid w:val="008A6032"/>
    <w:rsid w:val="008B4197"/>
    <w:rsid w:val="008B796D"/>
    <w:rsid w:val="008B7CA8"/>
    <w:rsid w:val="008C3506"/>
    <w:rsid w:val="008C378F"/>
    <w:rsid w:val="008D0EFB"/>
    <w:rsid w:val="008E367C"/>
    <w:rsid w:val="008E7690"/>
    <w:rsid w:val="008F3888"/>
    <w:rsid w:val="008F5A1B"/>
    <w:rsid w:val="00905A8B"/>
    <w:rsid w:val="0091799D"/>
    <w:rsid w:val="00923B9E"/>
    <w:rsid w:val="00932B2C"/>
    <w:rsid w:val="0093499C"/>
    <w:rsid w:val="009434F1"/>
    <w:rsid w:val="00950694"/>
    <w:rsid w:val="0095200E"/>
    <w:rsid w:val="009601C4"/>
    <w:rsid w:val="00963604"/>
    <w:rsid w:val="00970AD3"/>
    <w:rsid w:val="00972BE3"/>
    <w:rsid w:val="00973DB2"/>
    <w:rsid w:val="009774B3"/>
    <w:rsid w:val="009854B8"/>
    <w:rsid w:val="00985E77"/>
    <w:rsid w:val="009B6C8D"/>
    <w:rsid w:val="009C5E20"/>
    <w:rsid w:val="009D0628"/>
    <w:rsid w:val="009D6B95"/>
    <w:rsid w:val="009D75B1"/>
    <w:rsid w:val="009D7C72"/>
    <w:rsid w:val="009E1171"/>
    <w:rsid w:val="009E189D"/>
    <w:rsid w:val="009E36BC"/>
    <w:rsid w:val="009E39E6"/>
    <w:rsid w:val="009E451B"/>
    <w:rsid w:val="009F14E0"/>
    <w:rsid w:val="009F1D73"/>
    <w:rsid w:val="00A01C5F"/>
    <w:rsid w:val="00A13112"/>
    <w:rsid w:val="00A26F84"/>
    <w:rsid w:val="00A33995"/>
    <w:rsid w:val="00A35368"/>
    <w:rsid w:val="00A35682"/>
    <w:rsid w:val="00A362F1"/>
    <w:rsid w:val="00A43CA1"/>
    <w:rsid w:val="00A47E67"/>
    <w:rsid w:val="00A72E3A"/>
    <w:rsid w:val="00A86EFD"/>
    <w:rsid w:val="00A91125"/>
    <w:rsid w:val="00A938CB"/>
    <w:rsid w:val="00A97B5D"/>
    <w:rsid w:val="00AA58FF"/>
    <w:rsid w:val="00AB3373"/>
    <w:rsid w:val="00AB5445"/>
    <w:rsid w:val="00AB78BF"/>
    <w:rsid w:val="00AC4A67"/>
    <w:rsid w:val="00AD4388"/>
    <w:rsid w:val="00AE6B8A"/>
    <w:rsid w:val="00AF0ABB"/>
    <w:rsid w:val="00B06078"/>
    <w:rsid w:val="00B15844"/>
    <w:rsid w:val="00B51045"/>
    <w:rsid w:val="00B51EFD"/>
    <w:rsid w:val="00B54889"/>
    <w:rsid w:val="00B71E45"/>
    <w:rsid w:val="00B73079"/>
    <w:rsid w:val="00B7678E"/>
    <w:rsid w:val="00B92003"/>
    <w:rsid w:val="00BA6ADB"/>
    <w:rsid w:val="00BC0766"/>
    <w:rsid w:val="00BC743F"/>
    <w:rsid w:val="00BD4E5D"/>
    <w:rsid w:val="00BF351E"/>
    <w:rsid w:val="00C06FA4"/>
    <w:rsid w:val="00C078FD"/>
    <w:rsid w:val="00C117E9"/>
    <w:rsid w:val="00C171A6"/>
    <w:rsid w:val="00C22B28"/>
    <w:rsid w:val="00C2630F"/>
    <w:rsid w:val="00C309DF"/>
    <w:rsid w:val="00C3359D"/>
    <w:rsid w:val="00C45B2A"/>
    <w:rsid w:val="00C47C1B"/>
    <w:rsid w:val="00C52738"/>
    <w:rsid w:val="00C5325D"/>
    <w:rsid w:val="00C61816"/>
    <w:rsid w:val="00C6789F"/>
    <w:rsid w:val="00C714F9"/>
    <w:rsid w:val="00C757DB"/>
    <w:rsid w:val="00C851D7"/>
    <w:rsid w:val="00C85915"/>
    <w:rsid w:val="00C95271"/>
    <w:rsid w:val="00CA5AAF"/>
    <w:rsid w:val="00CB2823"/>
    <w:rsid w:val="00CB458F"/>
    <w:rsid w:val="00CB6667"/>
    <w:rsid w:val="00CD05B5"/>
    <w:rsid w:val="00CD509C"/>
    <w:rsid w:val="00CE00DF"/>
    <w:rsid w:val="00CE1871"/>
    <w:rsid w:val="00CE1D7E"/>
    <w:rsid w:val="00CE4089"/>
    <w:rsid w:val="00CF171C"/>
    <w:rsid w:val="00CF2958"/>
    <w:rsid w:val="00D004AE"/>
    <w:rsid w:val="00D012EA"/>
    <w:rsid w:val="00D035BE"/>
    <w:rsid w:val="00D04874"/>
    <w:rsid w:val="00D10FE9"/>
    <w:rsid w:val="00D110AC"/>
    <w:rsid w:val="00D12911"/>
    <w:rsid w:val="00D13B83"/>
    <w:rsid w:val="00D2622A"/>
    <w:rsid w:val="00D30045"/>
    <w:rsid w:val="00D37EFD"/>
    <w:rsid w:val="00D44602"/>
    <w:rsid w:val="00D44615"/>
    <w:rsid w:val="00D47B0A"/>
    <w:rsid w:val="00D51CE1"/>
    <w:rsid w:val="00D52451"/>
    <w:rsid w:val="00D52D58"/>
    <w:rsid w:val="00D64F4D"/>
    <w:rsid w:val="00D72D3C"/>
    <w:rsid w:val="00D75806"/>
    <w:rsid w:val="00D778CF"/>
    <w:rsid w:val="00D91B3F"/>
    <w:rsid w:val="00DA2155"/>
    <w:rsid w:val="00DC1EB4"/>
    <w:rsid w:val="00DC3CFE"/>
    <w:rsid w:val="00DC57FF"/>
    <w:rsid w:val="00DD0006"/>
    <w:rsid w:val="00DD22A2"/>
    <w:rsid w:val="00DD63CC"/>
    <w:rsid w:val="00DE556E"/>
    <w:rsid w:val="00DF03F7"/>
    <w:rsid w:val="00DF369C"/>
    <w:rsid w:val="00E063E4"/>
    <w:rsid w:val="00E112BD"/>
    <w:rsid w:val="00E11718"/>
    <w:rsid w:val="00E13D8B"/>
    <w:rsid w:val="00E162ED"/>
    <w:rsid w:val="00E1706E"/>
    <w:rsid w:val="00E202EF"/>
    <w:rsid w:val="00E43F4B"/>
    <w:rsid w:val="00E539D2"/>
    <w:rsid w:val="00E53F0C"/>
    <w:rsid w:val="00E625E4"/>
    <w:rsid w:val="00E702A6"/>
    <w:rsid w:val="00E84882"/>
    <w:rsid w:val="00E875C4"/>
    <w:rsid w:val="00E87E25"/>
    <w:rsid w:val="00EA4156"/>
    <w:rsid w:val="00EB1E12"/>
    <w:rsid w:val="00EB39C6"/>
    <w:rsid w:val="00EB5963"/>
    <w:rsid w:val="00EC6386"/>
    <w:rsid w:val="00ED3050"/>
    <w:rsid w:val="00ED6082"/>
    <w:rsid w:val="00ED6166"/>
    <w:rsid w:val="00ED73BD"/>
    <w:rsid w:val="00EE66E6"/>
    <w:rsid w:val="00EE736E"/>
    <w:rsid w:val="00F11692"/>
    <w:rsid w:val="00F136D0"/>
    <w:rsid w:val="00F14271"/>
    <w:rsid w:val="00F14CD7"/>
    <w:rsid w:val="00F42438"/>
    <w:rsid w:val="00F5113A"/>
    <w:rsid w:val="00F57253"/>
    <w:rsid w:val="00F60E6A"/>
    <w:rsid w:val="00F61025"/>
    <w:rsid w:val="00F615F0"/>
    <w:rsid w:val="00F66484"/>
    <w:rsid w:val="00F70911"/>
    <w:rsid w:val="00F715FC"/>
    <w:rsid w:val="00F71ED8"/>
    <w:rsid w:val="00F75E3A"/>
    <w:rsid w:val="00F7639C"/>
    <w:rsid w:val="00F83CF0"/>
    <w:rsid w:val="00F84830"/>
    <w:rsid w:val="00FA3D03"/>
    <w:rsid w:val="00FC1214"/>
    <w:rsid w:val="00FC1F0D"/>
    <w:rsid w:val="00FC4C31"/>
    <w:rsid w:val="00FC7548"/>
    <w:rsid w:val="00FD3927"/>
    <w:rsid w:val="00FD4031"/>
    <w:rsid w:val="00FD4DF9"/>
    <w:rsid w:val="00FD79A2"/>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483DD"/>
  <w15:docId w15:val="{E6B2A91B-F33F-4311-BBB6-500942DA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02"/>
  </w:style>
  <w:style w:type="paragraph" w:styleId="Heading1">
    <w:name w:val="heading 1"/>
    <w:basedOn w:val="Normal"/>
    <w:next w:val="Normal"/>
    <w:link w:val="Heading1Char"/>
    <w:uiPriority w:val="9"/>
    <w:qFormat/>
    <w:rsid w:val="00D4460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4460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4460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4460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4460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4460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4460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4460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4460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60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4460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44602"/>
    <w:rPr>
      <w:rFonts w:asciiTheme="majorHAnsi" w:eastAsiaTheme="majorEastAsia" w:hAnsiTheme="majorHAnsi" w:cstheme="majorBidi"/>
      <w:spacing w:val="4"/>
      <w:sz w:val="24"/>
      <w:szCs w:val="24"/>
    </w:rPr>
  </w:style>
  <w:style w:type="paragraph" w:styleId="ListParagraph">
    <w:name w:val="List Paragraph"/>
    <w:basedOn w:val="Normal"/>
    <w:uiPriority w:val="34"/>
    <w:qFormat/>
    <w:rsid w:val="00424CD2"/>
    <w:pPr>
      <w:ind w:left="720"/>
      <w:contextualSpacing/>
    </w:pPr>
  </w:style>
  <w:style w:type="paragraph" w:styleId="FootnoteText">
    <w:name w:val="footnote text"/>
    <w:basedOn w:val="Normal"/>
    <w:link w:val="FootnoteTextChar"/>
    <w:uiPriority w:val="99"/>
    <w:unhideWhenUsed/>
    <w:rsid w:val="00424CD2"/>
    <w:pPr>
      <w:spacing w:after="0" w:line="240" w:lineRule="auto"/>
    </w:pPr>
    <w:rPr>
      <w:sz w:val="20"/>
      <w:szCs w:val="20"/>
    </w:rPr>
  </w:style>
  <w:style w:type="character" w:customStyle="1" w:styleId="FootnoteTextChar">
    <w:name w:val="Footnote Text Char"/>
    <w:basedOn w:val="DefaultParagraphFont"/>
    <w:link w:val="FootnoteText"/>
    <w:uiPriority w:val="99"/>
    <w:rsid w:val="00424CD2"/>
    <w:rPr>
      <w:sz w:val="20"/>
      <w:szCs w:val="20"/>
    </w:rPr>
  </w:style>
  <w:style w:type="character" w:styleId="FootnoteReference">
    <w:name w:val="footnote reference"/>
    <w:basedOn w:val="DefaultParagraphFont"/>
    <w:uiPriority w:val="99"/>
    <w:unhideWhenUsed/>
    <w:rsid w:val="00424CD2"/>
    <w:rPr>
      <w:vertAlign w:val="superscript"/>
    </w:rPr>
  </w:style>
  <w:style w:type="character" w:styleId="Hyperlink">
    <w:name w:val="Hyperlink"/>
    <w:basedOn w:val="DefaultParagraphFont"/>
    <w:uiPriority w:val="99"/>
    <w:unhideWhenUsed/>
    <w:rsid w:val="00CE4089"/>
    <w:rPr>
      <w:color w:val="0563C1" w:themeColor="hyperlink"/>
      <w:u w:val="single"/>
    </w:rPr>
  </w:style>
  <w:style w:type="paragraph" w:styleId="Header">
    <w:name w:val="header"/>
    <w:basedOn w:val="Normal"/>
    <w:link w:val="HeaderChar"/>
    <w:uiPriority w:val="99"/>
    <w:unhideWhenUsed/>
    <w:rsid w:val="00C85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1D7"/>
  </w:style>
  <w:style w:type="paragraph" w:styleId="Footer">
    <w:name w:val="footer"/>
    <w:basedOn w:val="Normal"/>
    <w:link w:val="FooterChar"/>
    <w:uiPriority w:val="99"/>
    <w:unhideWhenUsed/>
    <w:rsid w:val="00C85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1D7"/>
  </w:style>
  <w:style w:type="paragraph" w:styleId="BalloonText">
    <w:name w:val="Balloon Text"/>
    <w:basedOn w:val="Normal"/>
    <w:link w:val="BalloonTextChar"/>
    <w:uiPriority w:val="99"/>
    <w:semiHidden/>
    <w:unhideWhenUsed/>
    <w:rsid w:val="008F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88"/>
    <w:rPr>
      <w:rFonts w:ascii="Tahoma" w:hAnsi="Tahoma" w:cs="Tahoma"/>
      <w:sz w:val="16"/>
      <w:szCs w:val="16"/>
    </w:rPr>
  </w:style>
  <w:style w:type="character" w:styleId="CommentReference">
    <w:name w:val="annotation reference"/>
    <w:basedOn w:val="DefaultParagraphFont"/>
    <w:uiPriority w:val="99"/>
    <w:semiHidden/>
    <w:unhideWhenUsed/>
    <w:rsid w:val="008F3888"/>
    <w:rPr>
      <w:sz w:val="16"/>
      <w:szCs w:val="16"/>
    </w:rPr>
  </w:style>
  <w:style w:type="paragraph" w:styleId="CommentText">
    <w:name w:val="annotation text"/>
    <w:basedOn w:val="Normal"/>
    <w:link w:val="CommentTextChar"/>
    <w:uiPriority w:val="99"/>
    <w:semiHidden/>
    <w:unhideWhenUsed/>
    <w:rsid w:val="008F3888"/>
    <w:pPr>
      <w:spacing w:line="240" w:lineRule="auto"/>
    </w:pPr>
    <w:rPr>
      <w:sz w:val="20"/>
      <w:szCs w:val="20"/>
    </w:rPr>
  </w:style>
  <w:style w:type="character" w:customStyle="1" w:styleId="CommentTextChar">
    <w:name w:val="Comment Text Char"/>
    <w:basedOn w:val="DefaultParagraphFont"/>
    <w:link w:val="CommentText"/>
    <w:uiPriority w:val="99"/>
    <w:semiHidden/>
    <w:rsid w:val="008F3888"/>
    <w:rPr>
      <w:sz w:val="20"/>
      <w:szCs w:val="20"/>
    </w:rPr>
  </w:style>
  <w:style w:type="paragraph" w:styleId="CommentSubject">
    <w:name w:val="annotation subject"/>
    <w:basedOn w:val="CommentText"/>
    <w:next w:val="CommentText"/>
    <w:link w:val="CommentSubjectChar"/>
    <w:uiPriority w:val="99"/>
    <w:semiHidden/>
    <w:unhideWhenUsed/>
    <w:rsid w:val="008F3888"/>
    <w:rPr>
      <w:b/>
      <w:bCs/>
    </w:rPr>
  </w:style>
  <w:style w:type="character" w:customStyle="1" w:styleId="CommentSubjectChar">
    <w:name w:val="Comment Subject Char"/>
    <w:basedOn w:val="CommentTextChar"/>
    <w:link w:val="CommentSubject"/>
    <w:uiPriority w:val="99"/>
    <w:semiHidden/>
    <w:rsid w:val="008F3888"/>
    <w:rPr>
      <w:b/>
      <w:bCs/>
      <w:sz w:val="20"/>
      <w:szCs w:val="20"/>
    </w:rPr>
  </w:style>
  <w:style w:type="paragraph" w:styleId="EndnoteText">
    <w:name w:val="endnote text"/>
    <w:basedOn w:val="Normal"/>
    <w:link w:val="EndnoteTextChar"/>
    <w:uiPriority w:val="99"/>
    <w:semiHidden/>
    <w:unhideWhenUsed/>
    <w:rsid w:val="001442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28C"/>
    <w:rPr>
      <w:sz w:val="20"/>
      <w:szCs w:val="20"/>
    </w:rPr>
  </w:style>
  <w:style w:type="character" w:customStyle="1" w:styleId="apple-converted-space">
    <w:name w:val="apple-converted-space"/>
    <w:basedOn w:val="DefaultParagraphFont"/>
    <w:rsid w:val="0014428C"/>
  </w:style>
  <w:style w:type="character" w:customStyle="1" w:styleId="A9">
    <w:name w:val="A9"/>
    <w:uiPriority w:val="99"/>
    <w:rsid w:val="0014428C"/>
    <w:rPr>
      <w:rFonts w:cs="Gill Sans MT"/>
      <w:color w:val="000000"/>
      <w:sz w:val="14"/>
      <w:szCs w:val="14"/>
    </w:rPr>
  </w:style>
  <w:style w:type="paragraph" w:styleId="NormalWeb">
    <w:name w:val="Normal (Web)"/>
    <w:basedOn w:val="Normal"/>
    <w:uiPriority w:val="99"/>
    <w:semiHidden/>
    <w:unhideWhenUsed/>
    <w:rsid w:val="001442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4602"/>
    <w:rPr>
      <w:i/>
      <w:iCs/>
      <w:color w:val="auto"/>
    </w:rPr>
  </w:style>
  <w:style w:type="table" w:styleId="TableGrid">
    <w:name w:val="Table Grid"/>
    <w:basedOn w:val="TableNormal"/>
    <w:uiPriority w:val="39"/>
    <w:rsid w:val="0014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hiddenvisually">
    <w:name w:val="u-hiddenvisually"/>
    <w:basedOn w:val="DefaultParagraphFont"/>
    <w:rsid w:val="0014428C"/>
  </w:style>
  <w:style w:type="character" w:styleId="Strong">
    <w:name w:val="Strong"/>
    <w:basedOn w:val="DefaultParagraphFont"/>
    <w:uiPriority w:val="22"/>
    <w:qFormat/>
    <w:rsid w:val="00D44602"/>
    <w:rPr>
      <w:b/>
      <w:bCs/>
      <w:color w:val="auto"/>
    </w:rPr>
  </w:style>
  <w:style w:type="character" w:styleId="EndnoteReference">
    <w:name w:val="endnote reference"/>
    <w:basedOn w:val="DefaultParagraphFont"/>
    <w:uiPriority w:val="99"/>
    <w:semiHidden/>
    <w:unhideWhenUsed/>
    <w:rsid w:val="00C171A6"/>
    <w:rPr>
      <w:vertAlign w:val="superscript"/>
    </w:rPr>
  </w:style>
  <w:style w:type="paragraph" w:styleId="Revision">
    <w:name w:val="Revision"/>
    <w:hidden/>
    <w:uiPriority w:val="99"/>
    <w:semiHidden/>
    <w:rsid w:val="00C171A6"/>
    <w:pPr>
      <w:spacing w:after="0" w:line="240" w:lineRule="auto"/>
    </w:pPr>
  </w:style>
  <w:style w:type="character" w:customStyle="1" w:styleId="ms-sitemapdirectional">
    <w:name w:val="ms-sitemapdirectional"/>
    <w:basedOn w:val="DefaultParagraphFont"/>
    <w:rsid w:val="00C171A6"/>
  </w:style>
  <w:style w:type="paragraph" w:styleId="TOCHeading">
    <w:name w:val="TOC Heading"/>
    <w:basedOn w:val="Heading1"/>
    <w:next w:val="Normal"/>
    <w:uiPriority w:val="39"/>
    <w:unhideWhenUsed/>
    <w:qFormat/>
    <w:rsid w:val="00D44602"/>
    <w:pPr>
      <w:outlineLvl w:val="9"/>
    </w:pPr>
  </w:style>
  <w:style w:type="paragraph" w:styleId="TOC1">
    <w:name w:val="toc 1"/>
    <w:basedOn w:val="Normal"/>
    <w:next w:val="Normal"/>
    <w:autoRedefine/>
    <w:uiPriority w:val="39"/>
    <w:unhideWhenUsed/>
    <w:rsid w:val="00154269"/>
    <w:pPr>
      <w:spacing w:after="100"/>
    </w:pPr>
  </w:style>
  <w:style w:type="paragraph" w:styleId="TOC2">
    <w:name w:val="toc 2"/>
    <w:basedOn w:val="Normal"/>
    <w:next w:val="Normal"/>
    <w:autoRedefine/>
    <w:uiPriority w:val="39"/>
    <w:unhideWhenUsed/>
    <w:rsid w:val="00247982"/>
    <w:pPr>
      <w:spacing w:after="100"/>
      <w:ind w:left="220"/>
    </w:pPr>
  </w:style>
  <w:style w:type="paragraph" w:styleId="TOC3">
    <w:name w:val="toc 3"/>
    <w:basedOn w:val="Normal"/>
    <w:next w:val="Normal"/>
    <w:autoRedefine/>
    <w:uiPriority w:val="39"/>
    <w:unhideWhenUsed/>
    <w:rsid w:val="00247982"/>
    <w:pPr>
      <w:spacing w:after="100"/>
      <w:ind w:left="440"/>
    </w:pPr>
  </w:style>
  <w:style w:type="character" w:styleId="HTMLCite">
    <w:name w:val="HTML Cite"/>
    <w:basedOn w:val="DefaultParagraphFont"/>
    <w:uiPriority w:val="99"/>
    <w:semiHidden/>
    <w:unhideWhenUsed/>
    <w:rsid w:val="0083131C"/>
    <w:rPr>
      <w:i/>
      <w:iCs/>
    </w:rPr>
  </w:style>
  <w:style w:type="character" w:styleId="FollowedHyperlink">
    <w:name w:val="FollowedHyperlink"/>
    <w:basedOn w:val="DefaultParagraphFont"/>
    <w:uiPriority w:val="99"/>
    <w:semiHidden/>
    <w:unhideWhenUsed/>
    <w:rsid w:val="00460E60"/>
    <w:rPr>
      <w:color w:val="954F72" w:themeColor="followedHyperlink"/>
      <w:u w:val="single"/>
    </w:rPr>
  </w:style>
  <w:style w:type="character" w:customStyle="1" w:styleId="Heading4Char">
    <w:name w:val="Heading 4 Char"/>
    <w:basedOn w:val="DefaultParagraphFont"/>
    <w:link w:val="Heading4"/>
    <w:uiPriority w:val="9"/>
    <w:semiHidden/>
    <w:rsid w:val="00D4460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4460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4460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44602"/>
    <w:rPr>
      <w:i/>
      <w:iCs/>
    </w:rPr>
  </w:style>
  <w:style w:type="character" w:customStyle="1" w:styleId="Heading8Char">
    <w:name w:val="Heading 8 Char"/>
    <w:basedOn w:val="DefaultParagraphFont"/>
    <w:link w:val="Heading8"/>
    <w:uiPriority w:val="9"/>
    <w:semiHidden/>
    <w:rsid w:val="00D44602"/>
    <w:rPr>
      <w:b/>
      <w:bCs/>
    </w:rPr>
  </w:style>
  <w:style w:type="character" w:customStyle="1" w:styleId="Heading9Char">
    <w:name w:val="Heading 9 Char"/>
    <w:basedOn w:val="DefaultParagraphFont"/>
    <w:link w:val="Heading9"/>
    <w:uiPriority w:val="9"/>
    <w:semiHidden/>
    <w:rsid w:val="00D44602"/>
    <w:rPr>
      <w:i/>
      <w:iCs/>
    </w:rPr>
  </w:style>
  <w:style w:type="paragraph" w:styleId="Caption">
    <w:name w:val="caption"/>
    <w:basedOn w:val="Normal"/>
    <w:next w:val="Normal"/>
    <w:uiPriority w:val="35"/>
    <w:semiHidden/>
    <w:unhideWhenUsed/>
    <w:qFormat/>
    <w:rsid w:val="00D44602"/>
    <w:rPr>
      <w:b/>
      <w:bCs/>
      <w:sz w:val="18"/>
      <w:szCs w:val="18"/>
    </w:rPr>
  </w:style>
  <w:style w:type="paragraph" w:styleId="Title">
    <w:name w:val="Title"/>
    <w:basedOn w:val="Normal"/>
    <w:next w:val="Normal"/>
    <w:link w:val="TitleChar"/>
    <w:uiPriority w:val="10"/>
    <w:qFormat/>
    <w:rsid w:val="00D4460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4460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4460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44602"/>
    <w:rPr>
      <w:rFonts w:asciiTheme="majorHAnsi" w:eastAsiaTheme="majorEastAsia" w:hAnsiTheme="majorHAnsi" w:cstheme="majorBidi"/>
      <w:sz w:val="24"/>
      <w:szCs w:val="24"/>
    </w:rPr>
  </w:style>
  <w:style w:type="paragraph" w:styleId="NoSpacing">
    <w:name w:val="No Spacing"/>
    <w:uiPriority w:val="1"/>
    <w:qFormat/>
    <w:rsid w:val="00D44602"/>
    <w:pPr>
      <w:spacing w:after="0" w:line="240" w:lineRule="auto"/>
    </w:pPr>
  </w:style>
  <w:style w:type="paragraph" w:styleId="Quote">
    <w:name w:val="Quote"/>
    <w:basedOn w:val="Normal"/>
    <w:next w:val="Normal"/>
    <w:link w:val="QuoteChar"/>
    <w:uiPriority w:val="29"/>
    <w:qFormat/>
    <w:rsid w:val="00D4460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4460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4460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4460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44602"/>
    <w:rPr>
      <w:i/>
      <w:iCs/>
      <w:color w:val="auto"/>
    </w:rPr>
  </w:style>
  <w:style w:type="character" w:styleId="IntenseEmphasis">
    <w:name w:val="Intense Emphasis"/>
    <w:basedOn w:val="DefaultParagraphFont"/>
    <w:uiPriority w:val="21"/>
    <w:qFormat/>
    <w:rsid w:val="00D44602"/>
    <w:rPr>
      <w:b/>
      <w:bCs/>
      <w:i/>
      <w:iCs/>
      <w:color w:val="auto"/>
    </w:rPr>
  </w:style>
  <w:style w:type="character" w:styleId="SubtleReference">
    <w:name w:val="Subtle Reference"/>
    <w:basedOn w:val="DefaultParagraphFont"/>
    <w:uiPriority w:val="31"/>
    <w:qFormat/>
    <w:rsid w:val="00D44602"/>
    <w:rPr>
      <w:smallCaps/>
      <w:color w:val="auto"/>
      <w:u w:val="single" w:color="7F7F7F" w:themeColor="text1" w:themeTint="80"/>
    </w:rPr>
  </w:style>
  <w:style w:type="character" w:styleId="IntenseReference">
    <w:name w:val="Intense Reference"/>
    <w:basedOn w:val="DefaultParagraphFont"/>
    <w:uiPriority w:val="32"/>
    <w:qFormat/>
    <w:rsid w:val="00D44602"/>
    <w:rPr>
      <w:b/>
      <w:bCs/>
      <w:smallCaps/>
      <w:color w:val="auto"/>
      <w:u w:val="single"/>
    </w:rPr>
  </w:style>
  <w:style w:type="character" w:styleId="BookTitle">
    <w:name w:val="Book Title"/>
    <w:basedOn w:val="DefaultParagraphFont"/>
    <w:uiPriority w:val="33"/>
    <w:qFormat/>
    <w:rsid w:val="00D44602"/>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_rels/endnotes.xml.rels><?xml version="1.0" encoding="UTF-8" standalone="yes"?>
<Relationships xmlns="http://schemas.openxmlformats.org/package/2006/relationships"><Relationship Id="rId3" Type="http://schemas.openxmlformats.org/officeDocument/2006/relationships/hyperlink" Target="https://www.tep.com/doc/planning/2014-TEP-IRP.pdf" TargetMode="External"/><Relationship Id="rId2" Type="http://schemas.openxmlformats.org/officeDocument/2006/relationships/hyperlink" Target="https://www.tep.com/doc/planning/2014-TEP-IRP.pdf" TargetMode="External"/><Relationship Id="rId1" Type="http://schemas.openxmlformats.org/officeDocument/2006/relationships/hyperlink" Target="mailto:Myron.Katz@EnergyRater.com" TargetMode="External"/><Relationship Id="rId6" Type="http://schemas.openxmlformats.org/officeDocument/2006/relationships/hyperlink" Target="http://www.epa.gov/greenpower/gpmarket/rec.htm" TargetMode="External"/><Relationship Id="rId5" Type="http://schemas.openxmlformats.org/officeDocument/2006/relationships/hyperlink" Target="https://en.wikipedia.org/wiki/White_certificates" TargetMode="External"/><Relationship Id="rId4" Type="http://schemas.openxmlformats.org/officeDocument/2006/relationships/hyperlink" Target="https://q9u5x5a2.ssl.hwcdn.net/-/Media/Missouri-Site/Files/environment/renewables/irp/irp-chapter8.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30D0-A75E-44C3-9AFB-7B12F538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Katz</dc:creator>
  <cp:keywords/>
  <dc:description/>
  <cp:lastModifiedBy>Myron Katz</cp:lastModifiedBy>
  <cp:revision>4</cp:revision>
  <cp:lastPrinted>2015-09-01T01:22:00Z</cp:lastPrinted>
  <dcterms:created xsi:type="dcterms:W3CDTF">2015-09-02T21:33:00Z</dcterms:created>
  <dcterms:modified xsi:type="dcterms:W3CDTF">2015-09-02T21:47:00Z</dcterms:modified>
</cp:coreProperties>
</file>